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32"/>
          <w:szCs w:val="32"/>
        </w:rPr>
        <w:t>附件3</w:t>
      </w:r>
    </w:p>
    <w:p>
      <w:pPr>
        <w:rPr>
          <w:rFonts w:ascii="黑体" w:hAnsi="黑体" w:eastAsia="黑体"/>
          <w:sz w:val="32"/>
          <w:szCs w:val="32"/>
        </w:rPr>
      </w:pPr>
    </w:p>
    <w:p>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达拉特旗2022年政务公开工作要点任务台账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241"/>
        <w:gridCol w:w="4565"/>
        <w:gridCol w:w="2835"/>
        <w:gridCol w:w="1985"/>
        <w:gridCol w:w="1276"/>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347" w:type="dxa"/>
            <w:gridSpan w:val="2"/>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任务名称</w:t>
            </w:r>
          </w:p>
        </w:tc>
        <w:tc>
          <w:tcPr>
            <w:tcW w:w="4565" w:type="dxa"/>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具体任务</w:t>
            </w:r>
          </w:p>
        </w:tc>
        <w:tc>
          <w:tcPr>
            <w:tcW w:w="2835" w:type="dxa"/>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落实情况</w:t>
            </w:r>
          </w:p>
        </w:tc>
        <w:tc>
          <w:tcPr>
            <w:tcW w:w="1985" w:type="dxa"/>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责任单位</w:t>
            </w:r>
          </w:p>
        </w:tc>
        <w:tc>
          <w:tcPr>
            <w:tcW w:w="1276" w:type="dxa"/>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完成时限</w:t>
            </w:r>
          </w:p>
        </w:tc>
        <w:tc>
          <w:tcPr>
            <w:tcW w:w="1134" w:type="dxa"/>
            <w:vAlign w:val="center"/>
          </w:tcPr>
          <w:p>
            <w:pPr>
              <w:jc w:val="center"/>
              <w:rPr>
                <w:rFonts w:ascii="黑体" w:hAnsi="黑体" w:eastAsia="黑体" w:cs="黑体"/>
                <w:kern w:val="0"/>
                <w:sz w:val="24"/>
                <w:szCs w:val="20"/>
              </w:rPr>
            </w:pPr>
            <w:r>
              <w:rPr>
                <w:rFonts w:hint="eastAsia" w:ascii="黑体" w:hAnsi="黑体" w:eastAsia="黑体" w:cs="黑体"/>
                <w:kern w:val="0"/>
                <w:sz w:val="24"/>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2" w:hRule="atLeast"/>
        </w:trPr>
        <w:tc>
          <w:tcPr>
            <w:tcW w:w="1106" w:type="dxa"/>
            <w:vMerge w:val="restart"/>
            <w:vAlign w:val="center"/>
          </w:tcPr>
          <w:p>
            <w:pPr>
              <w:rPr>
                <w:kern w:val="0"/>
                <w:sz w:val="24"/>
                <w:szCs w:val="20"/>
              </w:rPr>
            </w:pPr>
            <w:r>
              <w:rPr>
                <w:rFonts w:hint="eastAsia"/>
                <w:kern w:val="0"/>
                <w:sz w:val="24"/>
                <w:szCs w:val="20"/>
              </w:rPr>
              <w:t>一、提高政策</w:t>
            </w:r>
            <w:r>
              <w:rPr>
                <w:kern w:val="0"/>
                <w:sz w:val="24"/>
                <w:szCs w:val="20"/>
              </w:rPr>
              <w:t>公开质量</w:t>
            </w:r>
            <w:r>
              <w:rPr>
                <w:rFonts w:hint="eastAsia"/>
                <w:kern w:val="0"/>
                <w:sz w:val="24"/>
                <w:szCs w:val="20"/>
              </w:rPr>
              <w:t>，提升政务服务效能</w:t>
            </w:r>
          </w:p>
        </w:tc>
        <w:tc>
          <w:tcPr>
            <w:tcW w:w="1241" w:type="dxa"/>
            <w:vMerge w:val="restart"/>
            <w:vAlign w:val="center"/>
          </w:tcPr>
          <w:p>
            <w:pPr>
              <w:rPr>
                <w:kern w:val="0"/>
                <w:sz w:val="24"/>
                <w:szCs w:val="20"/>
              </w:rPr>
            </w:pPr>
            <w:r>
              <w:rPr>
                <w:rFonts w:hint="eastAsia"/>
                <w:kern w:val="0"/>
                <w:sz w:val="24"/>
                <w:szCs w:val="20"/>
              </w:rPr>
              <w:t>（一）继续做好规范性文件的集中公开。</w:t>
            </w:r>
          </w:p>
        </w:tc>
        <w:tc>
          <w:tcPr>
            <w:tcW w:w="4565" w:type="dxa"/>
            <w:vAlign w:val="center"/>
          </w:tcPr>
          <w:p>
            <w:pPr>
              <w:rPr>
                <w:kern w:val="0"/>
                <w:sz w:val="24"/>
                <w:szCs w:val="20"/>
              </w:rPr>
            </w:pPr>
            <w:r>
              <w:rPr>
                <w:rFonts w:hint="eastAsia"/>
                <w:kern w:val="0"/>
                <w:sz w:val="24"/>
                <w:szCs w:val="20"/>
              </w:rPr>
              <w:t>依托政府网站政府信息公开专栏“规范性文件”栏目集中发布，建立本地区本部门现行有效行政规范性文件库，集中公开现行有效行政规范性文件和目录，并根据法律法规和上级文件的制定、修改、废止情况，及时更新清理规范性文件库。</w:t>
            </w:r>
          </w:p>
        </w:tc>
        <w:tc>
          <w:tcPr>
            <w:tcW w:w="2835" w:type="dxa"/>
            <w:vAlign w:val="center"/>
          </w:tcPr>
          <w:p>
            <w:pPr>
              <w:rPr>
                <w:kern w:val="0"/>
                <w:sz w:val="24"/>
                <w:szCs w:val="20"/>
              </w:rPr>
            </w:pPr>
            <w:r>
              <w:rPr>
                <w:rFonts w:hint="eastAsia"/>
                <w:kern w:val="0"/>
                <w:sz w:val="24"/>
                <w:szCs w:val="20"/>
              </w:rPr>
              <w:t>1.依托政府网站信息公开专栏建设“规范性文件”栏目；2.集中公开规范性文件和目录，按要求及时更新清理规范性文件库；3.2022年底前各苏木镇街道、各部门要结合实际完成行政规范性文件更新清理工作。</w:t>
            </w:r>
          </w:p>
        </w:tc>
        <w:tc>
          <w:tcPr>
            <w:tcW w:w="1985" w:type="dxa"/>
            <w:vAlign w:val="center"/>
          </w:tcPr>
          <w:p>
            <w:pPr>
              <w:rPr>
                <w:kern w:val="0"/>
                <w:sz w:val="24"/>
                <w:szCs w:val="20"/>
              </w:rPr>
            </w:pPr>
            <w:r>
              <w:rPr>
                <w:rFonts w:hint="eastAsia"/>
                <w:kern w:val="0"/>
                <w:sz w:val="24"/>
                <w:szCs w:val="20"/>
              </w:rPr>
              <w:t>旗司法局牵头，各苏木镇街道、旗政府各部门负责落实</w:t>
            </w:r>
          </w:p>
        </w:tc>
        <w:tc>
          <w:tcPr>
            <w:tcW w:w="1276" w:type="dxa"/>
            <w:vAlign w:val="center"/>
          </w:tcPr>
          <w:p>
            <w:pPr>
              <w:jc w:val="center"/>
              <w:rPr>
                <w:kern w:val="0"/>
                <w:sz w:val="24"/>
                <w:szCs w:val="20"/>
              </w:rPr>
            </w:pPr>
            <w:r>
              <w:rPr>
                <w:rFonts w:hint="eastAsia"/>
                <w:kern w:val="0"/>
                <w:sz w:val="24"/>
                <w:szCs w:val="20"/>
              </w:rPr>
              <w:t>2022年9月底前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进一步强化政府公文分类展示，持续调整优化主题划分，确保分类准确，便于查阅。</w:t>
            </w:r>
          </w:p>
        </w:tc>
        <w:tc>
          <w:tcPr>
            <w:tcW w:w="2835" w:type="dxa"/>
            <w:vAlign w:val="center"/>
          </w:tcPr>
          <w:p>
            <w:pPr>
              <w:rPr>
                <w:kern w:val="0"/>
                <w:sz w:val="24"/>
                <w:szCs w:val="20"/>
              </w:rPr>
            </w:pPr>
            <w:r>
              <w:rPr>
                <w:rFonts w:hint="eastAsia"/>
                <w:kern w:val="0"/>
                <w:sz w:val="24"/>
                <w:szCs w:val="20"/>
              </w:rPr>
              <w:t>在现有公文政策库细化分类，优化主题划分。</w:t>
            </w:r>
          </w:p>
        </w:tc>
        <w:tc>
          <w:tcPr>
            <w:tcW w:w="1985" w:type="dxa"/>
            <w:vAlign w:val="center"/>
          </w:tcPr>
          <w:p>
            <w:pPr>
              <w:rPr>
                <w:kern w:val="0"/>
                <w:sz w:val="24"/>
                <w:szCs w:val="20"/>
              </w:rPr>
            </w:pPr>
            <w:r>
              <w:rPr>
                <w:rFonts w:hint="eastAsia"/>
                <w:kern w:val="0"/>
                <w:sz w:val="24"/>
                <w:szCs w:val="20"/>
              </w:rPr>
              <w:t>各苏木镇街道、旗政府各部门负责落实</w:t>
            </w:r>
          </w:p>
        </w:tc>
        <w:tc>
          <w:tcPr>
            <w:tcW w:w="1276" w:type="dxa"/>
            <w:vAlign w:val="center"/>
          </w:tcPr>
          <w:p>
            <w:pPr>
              <w:jc w:val="center"/>
              <w:rPr>
                <w:kern w:val="0"/>
                <w:sz w:val="24"/>
                <w:szCs w:val="20"/>
              </w:rPr>
            </w:pPr>
            <w:r>
              <w:rPr>
                <w:rFonts w:hint="eastAsia"/>
                <w:kern w:val="0"/>
                <w:sz w:val="24"/>
                <w:szCs w:val="20"/>
              </w:rPr>
              <w:t>2022年9月底前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（二）加强政策集中公开成果运用。</w:t>
            </w:r>
          </w:p>
        </w:tc>
        <w:tc>
          <w:tcPr>
            <w:tcW w:w="4565" w:type="dxa"/>
            <w:vAlign w:val="center"/>
          </w:tcPr>
          <w:p>
            <w:pPr>
              <w:rPr>
                <w:kern w:val="0"/>
                <w:sz w:val="24"/>
                <w:szCs w:val="20"/>
              </w:rPr>
            </w:pPr>
            <w:r>
              <w:rPr>
                <w:rFonts w:hint="eastAsia"/>
                <w:kern w:val="0"/>
                <w:sz w:val="24"/>
                <w:szCs w:val="20"/>
              </w:rPr>
              <w:t>制定政策库多维度标签体系，提升政府网站集约化平台大数据分析能力，以政策文件库和政务服务事项办事指南为依托，推动建设政策文件智能问答数据库。</w:t>
            </w:r>
          </w:p>
        </w:tc>
        <w:tc>
          <w:tcPr>
            <w:tcW w:w="2835" w:type="dxa"/>
            <w:vAlign w:val="center"/>
          </w:tcPr>
          <w:p>
            <w:pPr>
              <w:rPr>
                <w:kern w:val="0"/>
                <w:sz w:val="24"/>
                <w:szCs w:val="20"/>
              </w:rPr>
            </w:pPr>
            <w:r>
              <w:rPr>
                <w:rFonts w:hint="eastAsia"/>
                <w:kern w:val="0"/>
                <w:sz w:val="24"/>
                <w:szCs w:val="20"/>
              </w:rPr>
              <w:t>1.在现有政策库分类基础上进行细化，优化主题划分；2.完善政策文件智能问答数据库。</w:t>
            </w:r>
          </w:p>
        </w:tc>
        <w:tc>
          <w:tcPr>
            <w:tcW w:w="1985" w:type="dxa"/>
            <w:vAlign w:val="center"/>
          </w:tcPr>
          <w:p>
            <w:pPr>
              <w:rPr>
                <w:kern w:val="0"/>
                <w:sz w:val="24"/>
                <w:szCs w:val="20"/>
              </w:rPr>
            </w:pPr>
            <w:r>
              <w:rPr>
                <w:rFonts w:hint="eastAsia"/>
                <w:kern w:val="0"/>
                <w:sz w:val="24"/>
                <w:szCs w:val="20"/>
              </w:rPr>
              <w:t>旗政府及其相关部门负责落实</w:t>
            </w:r>
          </w:p>
        </w:tc>
        <w:tc>
          <w:tcPr>
            <w:tcW w:w="1276" w:type="dxa"/>
            <w:vAlign w:val="center"/>
          </w:tcPr>
          <w:p>
            <w:pPr>
              <w:jc w:val="center"/>
              <w:rPr>
                <w:kern w:val="0"/>
                <w:sz w:val="21"/>
                <w:szCs w:val="21"/>
              </w:rPr>
            </w:pPr>
            <w:r>
              <w:rPr>
                <w:rFonts w:hint="eastAsia"/>
                <w:kern w:val="0"/>
                <w:sz w:val="21"/>
                <w:szCs w:val="21"/>
              </w:rPr>
              <w:t>2022年11月底前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9"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加快推进政务服务标准化、规范化、便利化，根据国家政务服务事项基本目录和本地实际，明确应承接的事项，并全面梳理依法依规自行设立的事项，修订完善本地区政务服务事项基本目录，更好满足企业群众办事需求。</w:t>
            </w:r>
          </w:p>
        </w:tc>
        <w:tc>
          <w:tcPr>
            <w:tcW w:w="2835" w:type="dxa"/>
            <w:vAlign w:val="center"/>
          </w:tcPr>
          <w:p>
            <w:pPr>
              <w:rPr>
                <w:kern w:val="0"/>
                <w:sz w:val="24"/>
                <w:szCs w:val="20"/>
              </w:rPr>
            </w:pPr>
            <w:r>
              <w:rPr>
                <w:rFonts w:hint="eastAsia"/>
                <w:kern w:val="0"/>
                <w:sz w:val="24"/>
                <w:szCs w:val="20"/>
              </w:rPr>
              <w:t>1.按照《内蒙古自治区人民政府关于加快推进政务服务标准化规范化便利化的实施意见》要求，明确应承接事项；2.修订完善本地区政务服务事项基本目录。</w:t>
            </w:r>
          </w:p>
        </w:tc>
        <w:tc>
          <w:tcPr>
            <w:tcW w:w="1985" w:type="dxa"/>
            <w:vAlign w:val="center"/>
          </w:tcPr>
          <w:p>
            <w:pPr>
              <w:rPr>
                <w:kern w:val="0"/>
                <w:sz w:val="24"/>
                <w:szCs w:val="20"/>
              </w:rPr>
            </w:pPr>
            <w:r>
              <w:rPr>
                <w:rFonts w:hint="eastAsia"/>
                <w:kern w:val="0"/>
                <w:sz w:val="24"/>
                <w:szCs w:val="20"/>
              </w:rPr>
              <w:t>旗政务服务局负责牵头落实</w:t>
            </w:r>
          </w:p>
        </w:tc>
        <w:tc>
          <w:tcPr>
            <w:tcW w:w="1276" w:type="dxa"/>
            <w:vAlign w:val="center"/>
          </w:tcPr>
          <w:p>
            <w:pPr>
              <w:jc w:val="center"/>
              <w:rPr>
                <w:kern w:val="0"/>
                <w:sz w:val="21"/>
                <w:szCs w:val="21"/>
              </w:rPr>
            </w:pPr>
            <w:r>
              <w:rPr>
                <w:rFonts w:hint="eastAsia"/>
                <w:kern w:val="0"/>
                <w:sz w:val="21"/>
                <w:szCs w:val="21"/>
              </w:rPr>
              <w:t>2022年10月底前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（三）深化优化政策解读。</w:t>
            </w:r>
          </w:p>
        </w:tc>
        <w:tc>
          <w:tcPr>
            <w:tcW w:w="4565" w:type="dxa"/>
            <w:vAlign w:val="center"/>
          </w:tcPr>
          <w:p>
            <w:pPr>
              <w:rPr>
                <w:kern w:val="0"/>
                <w:sz w:val="24"/>
                <w:szCs w:val="20"/>
              </w:rPr>
            </w:pPr>
            <w:r>
              <w:rPr>
                <w:rFonts w:hint="eastAsia"/>
                <w:kern w:val="0"/>
                <w:sz w:val="24"/>
                <w:szCs w:val="20"/>
              </w:rPr>
              <w:t>持续做好重大政策发布解读回应工作，合理确定解读渠道，综合选用文字解读、图示图解、视频动漫、新闻发布会、专家访谈、场景演示、短视频、集中政策宣讲等解读形式，协调旗内主要新闻媒体、新媒体平台转发转载，切实丰富政策解读的形式，提高政策解读的到达率和知晓率。</w:t>
            </w:r>
          </w:p>
        </w:tc>
        <w:tc>
          <w:tcPr>
            <w:tcW w:w="2835" w:type="dxa"/>
            <w:vMerge w:val="restart"/>
            <w:vAlign w:val="center"/>
          </w:tcPr>
          <w:p>
            <w:pPr>
              <w:rPr>
                <w:kern w:val="0"/>
                <w:sz w:val="24"/>
                <w:szCs w:val="20"/>
              </w:rPr>
            </w:pPr>
            <w:r>
              <w:rPr>
                <w:rFonts w:hint="eastAsia"/>
                <w:kern w:val="0"/>
                <w:sz w:val="24"/>
                <w:szCs w:val="20"/>
              </w:rPr>
              <w:t>1.健全政策解读报送机制，主动公开的政策性文件同步报送解读，规范性文件全部开展解读；2.结合优化营商环境工作，持续加大涉企政策和重点领域的解读力度；3.协调旗内主要新闻媒体、新媒体平台转发转载。</w:t>
            </w:r>
          </w:p>
        </w:tc>
        <w:tc>
          <w:tcPr>
            <w:tcW w:w="1985" w:type="dxa"/>
            <w:vMerge w:val="restart"/>
            <w:vAlign w:val="center"/>
          </w:tcPr>
          <w:p>
            <w:pPr>
              <w:rPr>
                <w:kern w:val="0"/>
                <w:sz w:val="24"/>
                <w:szCs w:val="20"/>
              </w:rPr>
            </w:pPr>
            <w:r>
              <w:rPr>
                <w:rFonts w:hint="eastAsia"/>
                <w:kern w:val="0"/>
                <w:sz w:val="24"/>
                <w:szCs w:val="20"/>
              </w:rPr>
              <w:t>各苏木镇街道、旗政府各部门负责落实</w:t>
            </w:r>
          </w:p>
        </w:tc>
        <w:tc>
          <w:tcPr>
            <w:tcW w:w="1276" w:type="dxa"/>
            <w:vMerge w:val="restart"/>
            <w:vAlign w:val="center"/>
          </w:tcPr>
          <w:p>
            <w:pPr>
              <w:jc w:val="center"/>
              <w:rPr>
                <w:kern w:val="0"/>
                <w:sz w:val="24"/>
                <w:szCs w:val="20"/>
              </w:rPr>
            </w:pPr>
            <w:r>
              <w:rPr>
                <w:rFonts w:hint="eastAsia"/>
                <w:kern w:val="0"/>
                <w:sz w:val="24"/>
                <w:szCs w:val="20"/>
              </w:rPr>
              <w:t>2022年11月底前</w:t>
            </w:r>
          </w:p>
        </w:tc>
        <w:tc>
          <w:tcPr>
            <w:tcW w:w="1134" w:type="dxa"/>
            <w:vMerge w:val="restart"/>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政策解读部门要及时收集、提炼社会公众对政策的普遍关注点和疑虑点，突出新旧政策差异、管理执行标准、惠企利民举措及享受条件等实质性内容，扩大政策施行后解读，积极跟踪解读、多轮解读，对咨询、意见、建议较为集中的内容，有针对性地予以解答。</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Merge w:val="continue"/>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以12345政务服务便民热线、政府信息公开咨询电话、政务服务场所为依托，加强政策咨询“窗口”建设，针对生育、教育、就业、创业、养老、医疗、纳税、疫情防控等与人民群众切身利益密切相关的问题，提供方便快捷的政策咨询服务。</w:t>
            </w:r>
          </w:p>
        </w:tc>
        <w:tc>
          <w:tcPr>
            <w:tcW w:w="2835" w:type="dxa"/>
            <w:vAlign w:val="center"/>
          </w:tcPr>
          <w:p>
            <w:pPr>
              <w:rPr>
                <w:kern w:val="0"/>
                <w:sz w:val="24"/>
                <w:szCs w:val="20"/>
              </w:rPr>
            </w:pPr>
            <w:r>
              <w:rPr>
                <w:rFonts w:hint="eastAsia"/>
                <w:kern w:val="0"/>
                <w:sz w:val="24"/>
                <w:szCs w:val="20"/>
              </w:rPr>
              <w:t>健全完善投诉、咨询建议的转办、分办、反馈、选登机制，政策起草部门或业务主管部门负责对收集到的问题建议进行解答和回应，相关政策进行解读。</w:t>
            </w:r>
          </w:p>
        </w:tc>
        <w:tc>
          <w:tcPr>
            <w:tcW w:w="1985" w:type="dxa"/>
            <w:vAlign w:val="center"/>
          </w:tcPr>
          <w:p>
            <w:pPr>
              <w:rPr>
                <w:kern w:val="0"/>
                <w:sz w:val="24"/>
                <w:szCs w:val="20"/>
              </w:rPr>
            </w:pPr>
            <w:r>
              <w:rPr>
                <w:rFonts w:hint="eastAsia"/>
                <w:kern w:val="0"/>
                <w:sz w:val="24"/>
                <w:szCs w:val="20"/>
              </w:rPr>
              <w:t>旗大数据中心、政务服务局、旗民政局、旗教育体育局、旗人力资源和社会保障局、旗卫生健康委员会等部门负责落实</w:t>
            </w:r>
          </w:p>
        </w:tc>
        <w:tc>
          <w:tcPr>
            <w:tcW w:w="1276" w:type="dxa"/>
            <w:vAlign w:val="center"/>
          </w:tcPr>
          <w:p>
            <w:pPr>
              <w:jc w:val="center"/>
              <w:rPr>
                <w:kern w:val="0"/>
                <w:sz w:val="24"/>
                <w:szCs w:val="20"/>
              </w:rPr>
            </w:pPr>
            <w:r>
              <w:rPr>
                <w:rFonts w:hint="eastAsia"/>
                <w:kern w:val="0"/>
                <w:sz w:val="24"/>
                <w:szCs w:val="20"/>
              </w:rPr>
              <w:t>2022年7月底前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鼓励开设网上咨询功能，定期梳理更新常见问题解答库，集中回应共性和普遍疑问。</w:t>
            </w:r>
          </w:p>
        </w:tc>
        <w:tc>
          <w:tcPr>
            <w:tcW w:w="2835" w:type="dxa"/>
            <w:vAlign w:val="center"/>
          </w:tcPr>
          <w:p>
            <w:pPr>
              <w:rPr>
                <w:kern w:val="0"/>
                <w:sz w:val="24"/>
                <w:szCs w:val="20"/>
              </w:rPr>
            </w:pPr>
            <w:r>
              <w:rPr>
                <w:rFonts w:hint="eastAsia"/>
                <w:kern w:val="0"/>
                <w:sz w:val="24"/>
                <w:szCs w:val="20"/>
              </w:rPr>
              <w:t>旗政府网站建设政策文件智能问答、</w:t>
            </w:r>
            <w:r>
              <w:fldChar w:fldCharType="begin"/>
            </w:r>
            <w:r>
              <w:instrText xml:space="preserve"> HYPERLINK "http://www.ordos.gov.cn/hd_127898/szrx/" </w:instrText>
            </w:r>
            <w:r>
              <w:fldChar w:fldCharType="separate"/>
            </w:r>
            <w:r>
              <w:rPr>
                <w:rFonts w:hint="eastAsia"/>
                <w:kern w:val="0"/>
                <w:sz w:val="24"/>
                <w:szCs w:val="20"/>
              </w:rPr>
              <w:t>政务服务便民热线、书记信箱</w:t>
            </w:r>
            <w:r>
              <w:rPr>
                <w:rFonts w:hint="eastAsia"/>
                <w:kern w:val="0"/>
                <w:sz w:val="24"/>
                <w:szCs w:val="20"/>
              </w:rPr>
              <w:fldChar w:fldCharType="end"/>
            </w:r>
            <w:r>
              <w:rPr>
                <w:rFonts w:hint="eastAsia"/>
                <w:kern w:val="0"/>
                <w:sz w:val="24"/>
                <w:szCs w:val="20"/>
              </w:rPr>
              <w:t>等数据库，通过多渠道实现网上咨询和答疑功能。</w:t>
            </w:r>
          </w:p>
        </w:tc>
        <w:tc>
          <w:tcPr>
            <w:tcW w:w="1985" w:type="dxa"/>
            <w:vAlign w:val="center"/>
          </w:tcPr>
          <w:p>
            <w:pPr>
              <w:rPr>
                <w:kern w:val="0"/>
                <w:sz w:val="24"/>
                <w:szCs w:val="20"/>
              </w:rPr>
            </w:pPr>
            <w:r>
              <w:rPr>
                <w:rFonts w:hint="eastAsia"/>
                <w:kern w:val="0"/>
                <w:sz w:val="24"/>
                <w:szCs w:val="20"/>
              </w:rPr>
              <w:t>各苏木镇、街道，旗人民政府各部门负责落实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（四）推动政府开放活动常态化。</w:t>
            </w:r>
          </w:p>
        </w:tc>
        <w:tc>
          <w:tcPr>
            <w:tcW w:w="4565" w:type="dxa"/>
            <w:vAlign w:val="center"/>
          </w:tcPr>
          <w:p>
            <w:pPr>
              <w:rPr>
                <w:kern w:val="0"/>
                <w:sz w:val="24"/>
                <w:szCs w:val="20"/>
              </w:rPr>
            </w:pPr>
            <w:r>
              <w:rPr>
                <w:rFonts w:hint="eastAsia"/>
                <w:kern w:val="0"/>
                <w:sz w:val="24"/>
                <w:szCs w:val="20"/>
              </w:rPr>
              <w:t>结合年度重点工作、重大工程和重要政策发布，围绕“一网通办”、营商环境、民生保障、公正监管、公共安全等公众广泛关注的领域，积极开展政府开放月活动。</w:t>
            </w:r>
          </w:p>
        </w:tc>
        <w:tc>
          <w:tcPr>
            <w:tcW w:w="2835" w:type="dxa"/>
            <w:vAlign w:val="center"/>
          </w:tcPr>
          <w:p>
            <w:pPr>
              <w:rPr>
                <w:kern w:val="0"/>
                <w:sz w:val="24"/>
                <w:szCs w:val="20"/>
              </w:rPr>
            </w:pPr>
            <w:r>
              <w:rPr>
                <w:rFonts w:hint="eastAsia"/>
                <w:kern w:val="0"/>
                <w:sz w:val="24"/>
                <w:szCs w:val="20"/>
              </w:rPr>
              <w:t>1.组织开展线下系列主题开放活动；2.鼓励通过直播、流程演示等新颖形式开展政府开放活动。</w:t>
            </w:r>
          </w:p>
        </w:tc>
        <w:tc>
          <w:tcPr>
            <w:tcW w:w="1985" w:type="dxa"/>
            <w:vMerge w:val="restart"/>
            <w:vAlign w:val="center"/>
          </w:tcPr>
          <w:p>
            <w:pPr>
              <w:rPr>
                <w:kern w:val="0"/>
                <w:sz w:val="24"/>
                <w:szCs w:val="20"/>
              </w:rPr>
            </w:pPr>
            <w:r>
              <w:rPr>
                <w:rFonts w:hint="eastAsia"/>
                <w:kern w:val="0"/>
                <w:sz w:val="24"/>
                <w:szCs w:val="20"/>
              </w:rPr>
              <w:t>旗政府办负责牵头，各苏木镇街道及政府各部门负责落实</w:t>
            </w:r>
          </w:p>
        </w:tc>
        <w:tc>
          <w:tcPr>
            <w:tcW w:w="1276" w:type="dxa"/>
            <w:vMerge w:val="restart"/>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要综合选用政府网站、政务新媒体、新闻发布会、政府信息查阅场所，向社会公开征求意见，听取、吸收对政府工作的意见建议。</w:t>
            </w:r>
          </w:p>
        </w:tc>
        <w:tc>
          <w:tcPr>
            <w:tcW w:w="2835" w:type="dxa"/>
            <w:vAlign w:val="center"/>
          </w:tcPr>
          <w:p>
            <w:pPr>
              <w:rPr>
                <w:kern w:val="0"/>
                <w:sz w:val="24"/>
                <w:szCs w:val="20"/>
              </w:rPr>
            </w:pPr>
            <w:r>
              <w:rPr>
                <w:rFonts w:hint="eastAsia"/>
                <w:kern w:val="0"/>
                <w:sz w:val="24"/>
                <w:szCs w:val="20"/>
              </w:rPr>
              <w:t>协调旗内主要新闻媒体、新媒体平台征求公众意见。</w:t>
            </w: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106" w:type="dxa"/>
            <w:vMerge w:val="restart"/>
            <w:vAlign w:val="center"/>
          </w:tcPr>
          <w:p>
            <w:pPr>
              <w:rPr>
                <w:kern w:val="0"/>
                <w:sz w:val="24"/>
                <w:szCs w:val="20"/>
              </w:rPr>
            </w:pPr>
            <w:r>
              <w:rPr>
                <w:rFonts w:hint="eastAsia"/>
                <w:kern w:val="0"/>
                <w:sz w:val="24"/>
                <w:szCs w:val="20"/>
              </w:rPr>
              <w:t>二、强化重点领域公开，促进社会和谐稳定</w:t>
            </w:r>
          </w:p>
          <w:p>
            <w:pPr>
              <w:rPr>
                <w:kern w:val="0"/>
                <w:sz w:val="24"/>
                <w:szCs w:val="20"/>
              </w:rPr>
            </w:pPr>
          </w:p>
        </w:tc>
        <w:tc>
          <w:tcPr>
            <w:tcW w:w="1241" w:type="dxa"/>
            <w:vMerge w:val="restart"/>
            <w:vAlign w:val="center"/>
          </w:tcPr>
          <w:p>
            <w:pPr>
              <w:rPr>
                <w:kern w:val="0"/>
                <w:sz w:val="24"/>
                <w:szCs w:val="20"/>
              </w:rPr>
            </w:pPr>
            <w:r>
              <w:rPr>
                <w:rFonts w:hint="eastAsia"/>
                <w:kern w:val="0"/>
                <w:sz w:val="24"/>
                <w:szCs w:val="20"/>
              </w:rPr>
              <w:t>（五）持续做好疫情防控信息公开。</w:t>
            </w:r>
          </w:p>
        </w:tc>
        <w:tc>
          <w:tcPr>
            <w:tcW w:w="4565" w:type="dxa"/>
            <w:vAlign w:val="center"/>
          </w:tcPr>
          <w:p>
            <w:pPr>
              <w:rPr>
                <w:kern w:val="0"/>
                <w:sz w:val="24"/>
                <w:szCs w:val="20"/>
              </w:rPr>
            </w:pPr>
            <w:r>
              <w:rPr>
                <w:rFonts w:hint="eastAsia"/>
                <w:kern w:val="0"/>
                <w:sz w:val="24"/>
                <w:szCs w:val="20"/>
              </w:rPr>
              <w:t>严格执行疫情防控信息发布各项制度，加大解读力度，继续做好 “疫情防控政策措施”专栏的更新工作。</w:t>
            </w:r>
          </w:p>
        </w:tc>
        <w:tc>
          <w:tcPr>
            <w:tcW w:w="2835" w:type="dxa"/>
            <w:vMerge w:val="restart"/>
            <w:vAlign w:val="center"/>
          </w:tcPr>
          <w:p>
            <w:pPr>
              <w:rPr>
                <w:kern w:val="0"/>
                <w:sz w:val="24"/>
                <w:szCs w:val="20"/>
              </w:rPr>
            </w:pPr>
            <w:r>
              <w:rPr>
                <w:rFonts w:hint="eastAsia"/>
                <w:kern w:val="0"/>
                <w:sz w:val="24"/>
                <w:szCs w:val="20"/>
              </w:rPr>
              <w:t>1.旗政府门户网站开设“疫情防控”专栏，及时更新疫情防控工作相关内容；2.卫生健康及相关部门做好流调信息发布和个人隐私工作。</w:t>
            </w:r>
          </w:p>
        </w:tc>
        <w:tc>
          <w:tcPr>
            <w:tcW w:w="1985" w:type="dxa"/>
            <w:vMerge w:val="restart"/>
            <w:vAlign w:val="center"/>
          </w:tcPr>
          <w:p>
            <w:pPr>
              <w:rPr>
                <w:kern w:val="0"/>
                <w:sz w:val="24"/>
                <w:szCs w:val="20"/>
              </w:rPr>
            </w:pPr>
            <w:r>
              <w:rPr>
                <w:rFonts w:hint="eastAsia"/>
                <w:kern w:val="0"/>
                <w:sz w:val="24"/>
                <w:szCs w:val="20"/>
              </w:rPr>
              <w:t>旗卫生健康委员会及相关部门负责落实</w:t>
            </w:r>
          </w:p>
        </w:tc>
        <w:tc>
          <w:tcPr>
            <w:tcW w:w="1276" w:type="dxa"/>
            <w:vMerge w:val="restart"/>
            <w:vAlign w:val="center"/>
          </w:tcPr>
          <w:p>
            <w:pPr>
              <w:jc w:val="center"/>
              <w:rPr>
                <w:kern w:val="0"/>
                <w:sz w:val="24"/>
                <w:szCs w:val="20"/>
              </w:rPr>
            </w:pPr>
            <w:r>
              <w:rPr>
                <w:rFonts w:hint="eastAsia"/>
                <w:kern w:val="0"/>
                <w:sz w:val="24"/>
                <w:szCs w:val="20"/>
              </w:rPr>
              <w:t>全年持续推进</w:t>
            </w:r>
          </w:p>
        </w:tc>
        <w:tc>
          <w:tcPr>
            <w:tcW w:w="1134" w:type="dxa"/>
            <w:vMerge w:val="restart"/>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加强疫情防控信息发布工作协调衔接，形成多方协同的工作合力。进一步规范流调信息发布和管理，保护好个人隐私。</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Merge w:val="continue"/>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（六）加强就业创业信息公开。</w:t>
            </w:r>
          </w:p>
        </w:tc>
        <w:tc>
          <w:tcPr>
            <w:tcW w:w="4565" w:type="dxa"/>
            <w:vAlign w:val="center"/>
          </w:tcPr>
          <w:p>
            <w:pPr>
              <w:rPr>
                <w:kern w:val="0"/>
                <w:sz w:val="24"/>
                <w:szCs w:val="20"/>
              </w:rPr>
            </w:pPr>
            <w:r>
              <w:rPr>
                <w:rFonts w:hint="eastAsia"/>
                <w:kern w:val="0"/>
                <w:sz w:val="24"/>
                <w:szCs w:val="20"/>
              </w:rPr>
              <w:t>人社部门要全面梳理和集中公开本领域现行有效政策文件，针对高校毕业生、退役军人、失业人员等重点群体就业，做好政策宣讲和推送工作，提升灵活就业劳动用工和社保政策的发布解读质量，加大新就业形态劳动者劳动保障信息公开力度，畅通维权和咨询投诉渠道。</w:t>
            </w:r>
          </w:p>
        </w:tc>
        <w:tc>
          <w:tcPr>
            <w:tcW w:w="2835" w:type="dxa"/>
            <w:vMerge w:val="restart"/>
            <w:vAlign w:val="center"/>
          </w:tcPr>
          <w:p>
            <w:pPr>
              <w:rPr>
                <w:kern w:val="0"/>
                <w:sz w:val="24"/>
                <w:szCs w:val="20"/>
              </w:rPr>
            </w:pPr>
            <w:r>
              <w:rPr>
                <w:rFonts w:hint="eastAsia"/>
                <w:kern w:val="0"/>
                <w:sz w:val="24"/>
                <w:szCs w:val="20"/>
              </w:rPr>
              <w:t>1.相关责任部门定期梳理有效政策文件并及时发布；2.文件起草部门加大政策解读发布力度。</w:t>
            </w:r>
          </w:p>
        </w:tc>
        <w:tc>
          <w:tcPr>
            <w:tcW w:w="1985" w:type="dxa"/>
            <w:vAlign w:val="center"/>
          </w:tcPr>
          <w:p>
            <w:pPr>
              <w:rPr>
                <w:kern w:val="0"/>
                <w:sz w:val="24"/>
                <w:szCs w:val="20"/>
              </w:rPr>
            </w:pPr>
            <w:r>
              <w:rPr>
                <w:rFonts w:hint="eastAsia"/>
                <w:kern w:val="0"/>
                <w:sz w:val="24"/>
                <w:szCs w:val="20"/>
              </w:rPr>
              <w:t>旗教育体育局、旗退役军人事务局、旗人力资源和社会保障局等相关部门负责落实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及时发布大规模职业技能培训信息，通过政府门户网站和政务新媒体推广智慧就业服务平台，让更多的人能够知悉并获取相关就业培训等信息。做好失业保险基金使用情况动态公开和解读工作。</w:t>
            </w:r>
          </w:p>
        </w:tc>
        <w:tc>
          <w:tcPr>
            <w:tcW w:w="2835" w:type="dxa"/>
            <w:vMerge w:val="continue"/>
            <w:vAlign w:val="center"/>
          </w:tcPr>
          <w:p>
            <w:pPr>
              <w:rPr>
                <w:kern w:val="0"/>
                <w:sz w:val="24"/>
                <w:szCs w:val="20"/>
              </w:rPr>
            </w:pPr>
          </w:p>
        </w:tc>
        <w:tc>
          <w:tcPr>
            <w:tcW w:w="1985" w:type="dxa"/>
            <w:vAlign w:val="center"/>
          </w:tcPr>
          <w:p>
            <w:pPr>
              <w:rPr>
                <w:kern w:val="0"/>
                <w:sz w:val="24"/>
                <w:szCs w:val="20"/>
              </w:rPr>
            </w:pPr>
            <w:r>
              <w:rPr>
                <w:rFonts w:hint="eastAsia"/>
                <w:kern w:val="0"/>
                <w:sz w:val="24"/>
                <w:szCs w:val="20"/>
              </w:rPr>
              <w:t>旗人力资源和社会保障局等相关部门负责落实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（七）深化生态环境领域信息公开。</w:t>
            </w:r>
          </w:p>
        </w:tc>
        <w:tc>
          <w:tcPr>
            <w:tcW w:w="4565" w:type="dxa"/>
            <w:vAlign w:val="center"/>
          </w:tcPr>
          <w:p>
            <w:pPr>
              <w:rPr>
                <w:kern w:val="0"/>
                <w:sz w:val="24"/>
                <w:szCs w:val="20"/>
              </w:rPr>
            </w:pPr>
            <w:r>
              <w:rPr>
                <w:rFonts w:hint="eastAsia"/>
                <w:kern w:val="0"/>
                <w:sz w:val="24"/>
                <w:szCs w:val="20"/>
              </w:rPr>
              <w:t>持续做好大气、水、土壤环境质量信息公开。</w:t>
            </w:r>
          </w:p>
        </w:tc>
        <w:tc>
          <w:tcPr>
            <w:tcW w:w="2835" w:type="dxa"/>
            <w:vMerge w:val="restart"/>
            <w:vAlign w:val="center"/>
          </w:tcPr>
          <w:p>
            <w:pPr>
              <w:rPr>
                <w:kern w:val="0"/>
                <w:sz w:val="24"/>
                <w:szCs w:val="20"/>
              </w:rPr>
            </w:pPr>
            <w:r>
              <w:rPr>
                <w:rFonts w:hint="eastAsia"/>
                <w:kern w:val="0"/>
                <w:sz w:val="24"/>
                <w:szCs w:val="20"/>
              </w:rPr>
              <w:t>相关责任部门及时发布各类信息。</w:t>
            </w:r>
          </w:p>
        </w:tc>
        <w:tc>
          <w:tcPr>
            <w:tcW w:w="1985" w:type="dxa"/>
            <w:vAlign w:val="center"/>
          </w:tcPr>
          <w:p>
            <w:pPr>
              <w:rPr>
                <w:kern w:val="0"/>
                <w:sz w:val="24"/>
                <w:szCs w:val="20"/>
              </w:rPr>
            </w:pPr>
            <w:r>
              <w:rPr>
                <w:rFonts w:hint="eastAsia" w:cs="Times New Roman"/>
                <w:kern w:val="0"/>
                <w:sz w:val="24"/>
                <w:szCs w:val="20"/>
              </w:rPr>
              <w:t>鄂尔多斯市生态环境局</w:t>
            </w:r>
            <w:r>
              <w:rPr>
                <w:rFonts w:hint="eastAsia"/>
                <w:kern w:val="0"/>
                <w:sz w:val="24"/>
                <w:szCs w:val="20"/>
              </w:rPr>
              <w:t>达拉特旗</w:t>
            </w:r>
            <w:r>
              <w:rPr>
                <w:rFonts w:hint="eastAsia" w:cs="Times New Roman"/>
                <w:kern w:val="0"/>
                <w:sz w:val="24"/>
                <w:szCs w:val="20"/>
              </w:rPr>
              <w:t>分局</w:t>
            </w:r>
            <w:r>
              <w:rPr>
                <w:rFonts w:hint="eastAsia"/>
                <w:kern w:val="0"/>
                <w:sz w:val="24"/>
                <w:szCs w:val="20"/>
              </w:rPr>
              <w:t>及相关部门负责落实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围绕扎实推动黄河流域生态保护和高质量发展、深入打好污染防治攻坚战、持续改善生态环境质量等方面工作，及时发布权威信息。</w:t>
            </w:r>
          </w:p>
        </w:tc>
        <w:tc>
          <w:tcPr>
            <w:tcW w:w="2835" w:type="dxa"/>
            <w:vMerge w:val="continue"/>
            <w:vAlign w:val="center"/>
          </w:tcPr>
          <w:p>
            <w:pPr>
              <w:rPr>
                <w:kern w:val="0"/>
                <w:sz w:val="24"/>
                <w:szCs w:val="20"/>
              </w:rPr>
            </w:pPr>
          </w:p>
        </w:tc>
        <w:tc>
          <w:tcPr>
            <w:tcW w:w="1985" w:type="dxa"/>
            <w:vMerge w:val="restart"/>
            <w:vAlign w:val="center"/>
          </w:tcPr>
          <w:p>
            <w:pPr>
              <w:rPr>
                <w:kern w:val="0"/>
                <w:sz w:val="24"/>
                <w:szCs w:val="20"/>
              </w:rPr>
            </w:pPr>
            <w:r>
              <w:rPr>
                <w:rFonts w:hint="eastAsia"/>
                <w:kern w:val="0"/>
                <w:sz w:val="24"/>
                <w:szCs w:val="20"/>
              </w:rPr>
              <w:t>旗发展</w:t>
            </w:r>
            <w:r>
              <w:rPr>
                <w:rFonts w:hint="eastAsia"/>
                <w:kern w:val="0"/>
                <w:sz w:val="24"/>
                <w:szCs w:val="20"/>
                <w:lang w:val="en-US" w:eastAsia="zh-CN"/>
              </w:rPr>
              <w:t>和</w:t>
            </w:r>
            <w:bookmarkStart w:id="0" w:name="_GoBack"/>
            <w:bookmarkEnd w:id="0"/>
            <w:r>
              <w:rPr>
                <w:rFonts w:hint="eastAsia"/>
                <w:kern w:val="0"/>
                <w:sz w:val="24"/>
                <w:szCs w:val="20"/>
              </w:rPr>
              <w:t>改革委员会、</w:t>
            </w:r>
            <w:r>
              <w:rPr>
                <w:rFonts w:hint="eastAsia" w:cs="Times New Roman"/>
                <w:kern w:val="0"/>
                <w:sz w:val="24"/>
                <w:szCs w:val="20"/>
              </w:rPr>
              <w:t>鄂尔多斯市生态环境局</w:t>
            </w:r>
            <w:r>
              <w:rPr>
                <w:rFonts w:hint="eastAsia"/>
                <w:kern w:val="0"/>
                <w:sz w:val="24"/>
                <w:szCs w:val="20"/>
              </w:rPr>
              <w:t>达拉特旗</w:t>
            </w:r>
            <w:r>
              <w:rPr>
                <w:rFonts w:hint="eastAsia" w:cs="Times New Roman"/>
                <w:kern w:val="0"/>
                <w:sz w:val="24"/>
                <w:szCs w:val="20"/>
              </w:rPr>
              <w:t>分局</w:t>
            </w:r>
            <w:r>
              <w:rPr>
                <w:rFonts w:hint="eastAsia"/>
                <w:kern w:val="0"/>
                <w:sz w:val="24"/>
                <w:szCs w:val="20"/>
              </w:rPr>
              <w:t>及相关部门负责落实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做好中央第三生态环境保护督察组交办群众信访举报案件办理情况的公开工作。</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(八)深化稳增长保民生信息公开。</w:t>
            </w:r>
          </w:p>
        </w:tc>
        <w:tc>
          <w:tcPr>
            <w:tcW w:w="4565" w:type="dxa"/>
            <w:vAlign w:val="center"/>
          </w:tcPr>
          <w:p>
            <w:pPr>
              <w:rPr>
                <w:kern w:val="0"/>
                <w:sz w:val="24"/>
                <w:szCs w:val="20"/>
              </w:rPr>
            </w:pPr>
            <w:r>
              <w:rPr>
                <w:rFonts w:hint="eastAsia"/>
                <w:kern w:val="0"/>
                <w:sz w:val="24"/>
                <w:szCs w:val="20"/>
              </w:rPr>
              <w:t>切实做好交通水利、市政工程、防灾减灾等重大建设项目信息公开，突出做好就业、教育、医疗、养老、住房保障、安全生产等领域的信息公开工作。</w:t>
            </w:r>
          </w:p>
        </w:tc>
        <w:tc>
          <w:tcPr>
            <w:tcW w:w="2835" w:type="dxa"/>
            <w:vMerge w:val="restart"/>
            <w:vAlign w:val="center"/>
          </w:tcPr>
          <w:p>
            <w:pPr>
              <w:rPr>
                <w:kern w:val="0"/>
                <w:sz w:val="24"/>
                <w:szCs w:val="20"/>
              </w:rPr>
            </w:pPr>
            <w:r>
              <w:rPr>
                <w:rFonts w:hint="eastAsia"/>
                <w:kern w:val="0"/>
                <w:sz w:val="24"/>
                <w:szCs w:val="20"/>
              </w:rPr>
              <w:t>相关责任部门及时发布各类信息。</w:t>
            </w:r>
          </w:p>
        </w:tc>
        <w:tc>
          <w:tcPr>
            <w:tcW w:w="1985" w:type="dxa"/>
            <w:vMerge w:val="restart"/>
            <w:vAlign w:val="center"/>
          </w:tcPr>
          <w:p>
            <w:pPr>
              <w:rPr>
                <w:kern w:val="0"/>
                <w:sz w:val="24"/>
                <w:szCs w:val="20"/>
              </w:rPr>
            </w:pPr>
            <w:r>
              <w:rPr>
                <w:rFonts w:hint="eastAsia"/>
                <w:kern w:val="0"/>
                <w:sz w:val="24"/>
                <w:szCs w:val="20"/>
              </w:rPr>
              <w:t>旗交通运输局、旗水利局、旗住房和城乡建设局、旗人力资源和社会保障局、旗教育体育局、旗医疗保障局等相关部门牵头落实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通过多种形式公开学前教育、义务教育和高中阶段教育供给等方面信息。</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加大社会救助、卫生健康、养老服务、医疗服务、药品安全、医保监管、疫苗监管、公立医疗卫生机构动态信息公开力度。</w:t>
            </w:r>
          </w:p>
        </w:tc>
        <w:tc>
          <w:tcPr>
            <w:tcW w:w="2835" w:type="dxa"/>
            <w:vMerge w:val="continue"/>
            <w:vAlign w:val="center"/>
          </w:tcPr>
          <w:p>
            <w:pPr>
              <w:rPr>
                <w:kern w:val="0"/>
                <w:sz w:val="24"/>
                <w:szCs w:val="20"/>
              </w:rPr>
            </w:pPr>
          </w:p>
        </w:tc>
        <w:tc>
          <w:tcPr>
            <w:tcW w:w="1985" w:type="dxa"/>
            <w:vAlign w:val="center"/>
          </w:tcPr>
          <w:p>
            <w:pPr>
              <w:rPr>
                <w:kern w:val="0"/>
                <w:sz w:val="24"/>
                <w:szCs w:val="20"/>
              </w:rPr>
            </w:pPr>
            <w:r>
              <w:rPr>
                <w:rFonts w:hint="eastAsia"/>
                <w:kern w:val="0"/>
                <w:sz w:val="24"/>
                <w:szCs w:val="20"/>
              </w:rPr>
              <w:t>旗民政局、旗卫生健康委员会、旗医疗保障局等相关部门负责落实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持续做好住房保障相关信息公开，进一步推进老旧小区改造、公租房分配、征地等信息公开，加快历史征地信息补录。</w:t>
            </w:r>
          </w:p>
        </w:tc>
        <w:tc>
          <w:tcPr>
            <w:tcW w:w="2835" w:type="dxa"/>
            <w:vMerge w:val="continue"/>
            <w:vAlign w:val="center"/>
          </w:tcPr>
          <w:p>
            <w:pPr>
              <w:rPr>
                <w:kern w:val="0"/>
                <w:sz w:val="24"/>
                <w:szCs w:val="20"/>
              </w:rPr>
            </w:pPr>
          </w:p>
        </w:tc>
        <w:tc>
          <w:tcPr>
            <w:tcW w:w="1985" w:type="dxa"/>
            <w:vAlign w:val="center"/>
          </w:tcPr>
          <w:p>
            <w:pPr>
              <w:rPr>
                <w:kern w:val="0"/>
                <w:sz w:val="24"/>
                <w:szCs w:val="20"/>
              </w:rPr>
            </w:pPr>
            <w:r>
              <w:rPr>
                <w:rFonts w:hint="eastAsia"/>
                <w:kern w:val="0"/>
                <w:sz w:val="24"/>
                <w:szCs w:val="20"/>
              </w:rPr>
              <w:t>旗住房和城乡建设局、旗自然资源局等相关部门负责落实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加强安全生产、</w:t>
            </w:r>
            <w:r>
              <w:fldChar w:fldCharType="begin"/>
            </w:r>
            <w:r>
              <w:instrText xml:space="preserve"> HYPERLINK "https://baike.baidu.com/item/%E7%AA%81%E5%8F%91%E5%85%AC%E5%85%B1%E4%BA%8B%E4%BB%B6/2999576" </w:instrText>
            </w:r>
            <w:r>
              <w:fldChar w:fldCharType="separate"/>
            </w:r>
            <w:r>
              <w:rPr>
                <w:rFonts w:hint="eastAsia"/>
                <w:kern w:val="0"/>
                <w:sz w:val="24"/>
                <w:szCs w:val="20"/>
              </w:rPr>
              <w:t>突发公共事件</w:t>
            </w:r>
            <w:r>
              <w:rPr>
                <w:rFonts w:hint="eastAsia"/>
                <w:kern w:val="0"/>
                <w:sz w:val="24"/>
                <w:szCs w:val="20"/>
              </w:rPr>
              <w:fldChar w:fldCharType="end"/>
            </w:r>
            <w:r>
              <w:rPr>
                <w:rFonts w:hint="eastAsia"/>
                <w:kern w:val="0"/>
                <w:sz w:val="24"/>
                <w:szCs w:val="20"/>
              </w:rPr>
              <w:t>的应急预案和预警信息发布及应对处置情况信息公开。</w:t>
            </w:r>
          </w:p>
        </w:tc>
        <w:tc>
          <w:tcPr>
            <w:tcW w:w="2835" w:type="dxa"/>
            <w:vMerge w:val="continue"/>
            <w:vAlign w:val="center"/>
          </w:tcPr>
          <w:p>
            <w:pPr>
              <w:rPr>
                <w:kern w:val="0"/>
                <w:sz w:val="24"/>
                <w:szCs w:val="20"/>
              </w:rPr>
            </w:pPr>
          </w:p>
        </w:tc>
        <w:tc>
          <w:tcPr>
            <w:tcW w:w="1985" w:type="dxa"/>
            <w:vAlign w:val="center"/>
          </w:tcPr>
          <w:p>
            <w:pPr>
              <w:rPr>
                <w:kern w:val="0"/>
                <w:sz w:val="24"/>
                <w:szCs w:val="20"/>
              </w:rPr>
            </w:pPr>
            <w:r>
              <w:rPr>
                <w:rFonts w:hint="eastAsia"/>
                <w:kern w:val="0"/>
                <w:sz w:val="24"/>
                <w:szCs w:val="20"/>
              </w:rPr>
              <w:t>旗应急管理局等相关部门负责落实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（九）推进公共企事业单位信息公开。</w:t>
            </w:r>
          </w:p>
        </w:tc>
        <w:tc>
          <w:tcPr>
            <w:tcW w:w="4565" w:type="dxa"/>
            <w:vAlign w:val="center"/>
          </w:tcPr>
          <w:p>
            <w:pPr>
              <w:rPr>
                <w:kern w:val="0"/>
                <w:sz w:val="24"/>
                <w:szCs w:val="20"/>
              </w:rPr>
            </w:pPr>
            <w:r>
              <w:rPr>
                <w:rFonts w:hint="eastAsia"/>
                <w:kern w:val="0"/>
                <w:sz w:val="24"/>
                <w:szCs w:val="20"/>
              </w:rPr>
              <w:t>严格执行教育、卫生健康、供水、供电、供气、供热、生态环境、公共交通等8个领域已出台的公共企事业单位信息公开制度，深入推进公共企事业单位信息公开。</w:t>
            </w:r>
          </w:p>
        </w:tc>
        <w:tc>
          <w:tcPr>
            <w:tcW w:w="2835" w:type="dxa"/>
            <w:vMerge w:val="restart"/>
            <w:vAlign w:val="center"/>
          </w:tcPr>
          <w:p>
            <w:pPr>
              <w:rPr>
                <w:kern w:val="0"/>
                <w:sz w:val="24"/>
                <w:szCs w:val="20"/>
              </w:rPr>
            </w:pPr>
            <w:r>
              <w:rPr>
                <w:rFonts w:hint="eastAsia"/>
                <w:kern w:val="0"/>
                <w:sz w:val="24"/>
                <w:szCs w:val="20"/>
              </w:rPr>
              <w:t>推进公共企事业单位落实本领域信息公开制度，做好政策解读发布，主管部门加强监督管理。</w:t>
            </w:r>
          </w:p>
        </w:tc>
        <w:tc>
          <w:tcPr>
            <w:tcW w:w="1985" w:type="dxa"/>
            <w:vMerge w:val="restart"/>
            <w:vAlign w:val="center"/>
          </w:tcPr>
          <w:p>
            <w:pPr>
              <w:rPr>
                <w:kern w:val="0"/>
                <w:sz w:val="24"/>
                <w:szCs w:val="20"/>
              </w:rPr>
            </w:pPr>
            <w:r>
              <w:rPr>
                <w:rFonts w:hint="eastAsia"/>
                <w:kern w:val="0"/>
                <w:sz w:val="24"/>
                <w:szCs w:val="20"/>
              </w:rPr>
              <w:t>旗政府相关主管部门牵头落实</w:t>
            </w:r>
          </w:p>
        </w:tc>
        <w:tc>
          <w:tcPr>
            <w:tcW w:w="1276" w:type="dxa"/>
            <w:vMerge w:val="restart"/>
            <w:vAlign w:val="center"/>
          </w:tcPr>
          <w:p>
            <w:pPr>
              <w:jc w:val="center"/>
              <w:rPr>
                <w:kern w:val="0"/>
                <w:sz w:val="24"/>
                <w:szCs w:val="20"/>
              </w:rPr>
            </w:pPr>
            <w:r>
              <w:rPr>
                <w:rFonts w:hint="eastAsia"/>
                <w:kern w:val="0"/>
                <w:sz w:val="24"/>
                <w:szCs w:val="20"/>
              </w:rPr>
              <w:t>2022年8月底前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有关主管部门要切实履行主管部门职责，加强对公共企事业单位的监督管理，提升公共企事业单位信息公开水平和能力。</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1106" w:type="dxa"/>
            <w:vMerge w:val="restart"/>
            <w:vAlign w:val="center"/>
          </w:tcPr>
          <w:p>
            <w:pPr>
              <w:rPr>
                <w:kern w:val="0"/>
                <w:sz w:val="24"/>
                <w:szCs w:val="20"/>
              </w:rPr>
            </w:pPr>
            <w:r>
              <w:rPr>
                <w:rFonts w:hint="eastAsia"/>
                <w:kern w:val="0"/>
                <w:sz w:val="24"/>
                <w:szCs w:val="20"/>
              </w:rPr>
              <w:t>三、紧盯优化营商环境，助力经济平稳健康发展</w:t>
            </w:r>
          </w:p>
          <w:p>
            <w:pPr>
              <w:rPr>
                <w:kern w:val="0"/>
                <w:sz w:val="24"/>
                <w:szCs w:val="20"/>
              </w:rPr>
            </w:pPr>
          </w:p>
        </w:tc>
        <w:tc>
          <w:tcPr>
            <w:tcW w:w="1241" w:type="dxa"/>
            <w:vMerge w:val="restart"/>
            <w:vAlign w:val="center"/>
          </w:tcPr>
          <w:p>
            <w:pPr>
              <w:rPr>
                <w:kern w:val="0"/>
                <w:sz w:val="24"/>
                <w:szCs w:val="20"/>
              </w:rPr>
            </w:pPr>
            <w:r>
              <w:rPr>
                <w:rFonts w:hint="eastAsia"/>
                <w:kern w:val="0"/>
                <w:sz w:val="24"/>
                <w:szCs w:val="20"/>
              </w:rPr>
              <w:t>（十）营造公平开放的市场环境。</w:t>
            </w:r>
          </w:p>
        </w:tc>
        <w:tc>
          <w:tcPr>
            <w:tcW w:w="4565" w:type="dxa"/>
            <w:vAlign w:val="center"/>
          </w:tcPr>
          <w:p>
            <w:pPr>
              <w:rPr>
                <w:kern w:val="0"/>
                <w:sz w:val="24"/>
                <w:szCs w:val="20"/>
              </w:rPr>
            </w:pPr>
            <w:r>
              <w:rPr>
                <w:rFonts w:hint="eastAsia"/>
                <w:kern w:val="0"/>
                <w:sz w:val="24"/>
                <w:szCs w:val="20"/>
              </w:rPr>
              <w:t>做好政府网站“优化营商环境”专栏政策集成内容保障，梳理汇集涉企政策和举措，适时开展“免申即享事项”“政策包”等内容的精准推送，推动政策个性化、主动化供给。</w:t>
            </w:r>
          </w:p>
        </w:tc>
        <w:tc>
          <w:tcPr>
            <w:tcW w:w="2835" w:type="dxa"/>
            <w:vMerge w:val="restart"/>
            <w:vAlign w:val="center"/>
          </w:tcPr>
          <w:p>
            <w:pPr>
              <w:rPr>
                <w:kern w:val="0"/>
                <w:sz w:val="24"/>
                <w:szCs w:val="20"/>
              </w:rPr>
            </w:pPr>
            <w:r>
              <w:rPr>
                <w:rFonts w:hint="eastAsia"/>
                <w:kern w:val="0"/>
                <w:sz w:val="24"/>
                <w:szCs w:val="20"/>
              </w:rPr>
              <w:t>1.及时梳理和报送优化营商环境政策、措施；2.旗人民政府网站及时采编、发布专栏信息；3.通过网站、新媒体等平台征集意见建议，做好反馈、整改工作。</w:t>
            </w:r>
          </w:p>
        </w:tc>
        <w:tc>
          <w:tcPr>
            <w:tcW w:w="1985" w:type="dxa"/>
            <w:vMerge w:val="restart"/>
            <w:vAlign w:val="center"/>
          </w:tcPr>
          <w:p>
            <w:pPr>
              <w:rPr>
                <w:kern w:val="0"/>
                <w:sz w:val="24"/>
                <w:szCs w:val="20"/>
              </w:rPr>
            </w:pPr>
            <w:r>
              <w:rPr>
                <w:rFonts w:hint="eastAsia"/>
                <w:kern w:val="0"/>
                <w:sz w:val="24"/>
                <w:szCs w:val="20"/>
              </w:rPr>
              <w:t>旗政府及其相关部门负责落实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做好优化营商环境方面的意见建议征集和反馈工作，促进以更优营商环境服务市场主体工作。</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做好市场监管规则标准和执法信息公开，主动公开市场准入负面清单并动态更新，依法做好执法信息公开。</w:t>
            </w:r>
          </w:p>
        </w:tc>
        <w:tc>
          <w:tcPr>
            <w:tcW w:w="2835" w:type="dxa"/>
            <w:vAlign w:val="center"/>
          </w:tcPr>
          <w:p>
            <w:pPr>
              <w:rPr>
                <w:kern w:val="0"/>
                <w:sz w:val="24"/>
                <w:szCs w:val="20"/>
              </w:rPr>
            </w:pPr>
            <w:r>
              <w:rPr>
                <w:rFonts w:hint="eastAsia"/>
                <w:kern w:val="0"/>
                <w:sz w:val="24"/>
                <w:szCs w:val="20"/>
              </w:rPr>
              <w:t>及时梳理、报送、发布市场监管政策依据和执法信息。</w:t>
            </w:r>
          </w:p>
        </w:tc>
        <w:tc>
          <w:tcPr>
            <w:tcW w:w="1985" w:type="dxa"/>
            <w:vAlign w:val="center"/>
          </w:tcPr>
          <w:p>
            <w:pPr>
              <w:rPr>
                <w:kern w:val="0"/>
                <w:sz w:val="24"/>
                <w:szCs w:val="20"/>
              </w:rPr>
            </w:pPr>
            <w:r>
              <w:rPr>
                <w:rFonts w:hint="eastAsia"/>
                <w:kern w:val="0"/>
                <w:sz w:val="24"/>
                <w:szCs w:val="20"/>
              </w:rPr>
              <w:t>旗发展和改革委员会、旗市场监督管理局牵头，相关部门负责落实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强化公共信用信息、反垄断和反不正当竞争执法信息公开，进一步规范执法监管行为，营造诚信守法、公平竞争的营商环境。</w:t>
            </w:r>
          </w:p>
        </w:tc>
        <w:tc>
          <w:tcPr>
            <w:tcW w:w="2835" w:type="dxa"/>
            <w:vAlign w:val="center"/>
          </w:tcPr>
          <w:p>
            <w:pPr>
              <w:rPr>
                <w:kern w:val="0"/>
                <w:sz w:val="24"/>
                <w:szCs w:val="20"/>
              </w:rPr>
            </w:pPr>
            <w:r>
              <w:rPr>
                <w:rFonts w:hint="eastAsia"/>
                <w:kern w:val="0"/>
                <w:sz w:val="24"/>
                <w:szCs w:val="20"/>
              </w:rPr>
              <w:t>及时梳理、报送、发布公共信用信息、反垄断和发不正当竞争政策依据和执法信息。</w:t>
            </w:r>
          </w:p>
        </w:tc>
        <w:tc>
          <w:tcPr>
            <w:tcW w:w="1985" w:type="dxa"/>
            <w:vAlign w:val="center"/>
          </w:tcPr>
          <w:p>
            <w:pPr>
              <w:rPr>
                <w:kern w:val="0"/>
                <w:sz w:val="24"/>
                <w:szCs w:val="20"/>
              </w:rPr>
            </w:pPr>
            <w:r>
              <w:rPr>
                <w:rFonts w:hint="eastAsia"/>
                <w:kern w:val="0"/>
                <w:sz w:val="24"/>
                <w:szCs w:val="20"/>
              </w:rPr>
              <w:t>旗发展和改革委员会、旗市场监督管理局牵头，相关部门负责落实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（十一）推动企业降本增效。</w:t>
            </w:r>
          </w:p>
        </w:tc>
        <w:tc>
          <w:tcPr>
            <w:tcW w:w="4565" w:type="dxa"/>
            <w:vAlign w:val="center"/>
          </w:tcPr>
          <w:p>
            <w:pPr>
              <w:rPr>
                <w:kern w:val="0"/>
                <w:sz w:val="24"/>
                <w:szCs w:val="20"/>
              </w:rPr>
            </w:pPr>
            <w:r>
              <w:rPr>
                <w:rFonts w:hint="eastAsia"/>
                <w:kern w:val="0"/>
                <w:sz w:val="24"/>
                <w:szCs w:val="20"/>
              </w:rPr>
              <w:t>加强减税降费信息公开，帮助基层执行机关和纳税人缴费人及时全面准确了解政策，以减税降费信息公开到位，推动减税降费政策执行到位。</w:t>
            </w:r>
          </w:p>
        </w:tc>
        <w:tc>
          <w:tcPr>
            <w:tcW w:w="2835" w:type="dxa"/>
            <w:vAlign w:val="center"/>
          </w:tcPr>
          <w:p>
            <w:pPr>
              <w:rPr>
                <w:kern w:val="0"/>
                <w:sz w:val="24"/>
                <w:szCs w:val="20"/>
              </w:rPr>
            </w:pPr>
            <w:r>
              <w:rPr>
                <w:rFonts w:hint="eastAsia"/>
                <w:kern w:val="0"/>
                <w:sz w:val="24"/>
                <w:szCs w:val="20"/>
              </w:rPr>
              <w:t>及时梳理、报送、发布减税降费政策依据和执法信息。</w:t>
            </w:r>
          </w:p>
        </w:tc>
        <w:tc>
          <w:tcPr>
            <w:tcW w:w="1985" w:type="dxa"/>
            <w:vAlign w:val="center"/>
          </w:tcPr>
          <w:p>
            <w:pPr>
              <w:rPr>
                <w:kern w:val="0"/>
                <w:sz w:val="24"/>
                <w:szCs w:val="20"/>
              </w:rPr>
            </w:pPr>
            <w:r>
              <w:rPr>
                <w:rFonts w:hint="eastAsia"/>
                <w:kern w:val="0"/>
                <w:sz w:val="24"/>
                <w:szCs w:val="20"/>
              </w:rPr>
              <w:t>旗发展和改革委员会、旗财政局、旗人力资源和社会保障局、旗税务局、开发区税务分局及各苏木镇税务所负责落实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推进重大税收违法失信案件信息公开，依法依规开展联合惩戒，引导市场主体规范健康发展。</w:t>
            </w:r>
          </w:p>
        </w:tc>
        <w:tc>
          <w:tcPr>
            <w:tcW w:w="2835" w:type="dxa"/>
            <w:vAlign w:val="center"/>
          </w:tcPr>
          <w:p>
            <w:pPr>
              <w:rPr>
                <w:kern w:val="0"/>
                <w:sz w:val="24"/>
                <w:szCs w:val="20"/>
              </w:rPr>
            </w:pPr>
            <w:r>
              <w:rPr>
                <w:rFonts w:hint="eastAsia"/>
                <w:kern w:val="0"/>
                <w:sz w:val="24"/>
                <w:szCs w:val="20"/>
              </w:rPr>
              <w:t>及时梳理、报送、发布违法重大失信案件信息。</w:t>
            </w:r>
          </w:p>
        </w:tc>
        <w:tc>
          <w:tcPr>
            <w:tcW w:w="1985" w:type="dxa"/>
            <w:vAlign w:val="center"/>
          </w:tcPr>
          <w:p>
            <w:pPr>
              <w:rPr>
                <w:kern w:val="0"/>
                <w:sz w:val="24"/>
                <w:szCs w:val="20"/>
              </w:rPr>
            </w:pPr>
            <w:r>
              <w:rPr>
                <w:rFonts w:hint="eastAsia"/>
                <w:kern w:val="0"/>
                <w:sz w:val="24"/>
                <w:szCs w:val="20"/>
              </w:rPr>
              <w:t>旗税务局、开发区税务分局及各苏木镇税务所负责落实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（十二）助力扩大有效投资。</w:t>
            </w:r>
          </w:p>
        </w:tc>
        <w:tc>
          <w:tcPr>
            <w:tcW w:w="4565" w:type="dxa"/>
            <w:vAlign w:val="center"/>
          </w:tcPr>
          <w:p>
            <w:pPr>
              <w:rPr>
                <w:kern w:val="0"/>
                <w:sz w:val="24"/>
                <w:szCs w:val="20"/>
              </w:rPr>
            </w:pPr>
            <w:r>
              <w:rPr>
                <w:rFonts w:hint="eastAsia"/>
                <w:kern w:val="0"/>
                <w:sz w:val="24"/>
                <w:szCs w:val="20"/>
              </w:rPr>
              <w:t>围绕规划重大项目、年度重点项目和基础设施建设，依法依规做好扩大有效投资相关规划、政策及重大建设项目信息公开。</w:t>
            </w:r>
          </w:p>
        </w:tc>
        <w:tc>
          <w:tcPr>
            <w:tcW w:w="2835" w:type="dxa"/>
            <w:vMerge w:val="restart"/>
            <w:vAlign w:val="center"/>
          </w:tcPr>
          <w:p>
            <w:pPr>
              <w:rPr>
                <w:kern w:val="0"/>
                <w:sz w:val="24"/>
                <w:szCs w:val="20"/>
              </w:rPr>
            </w:pPr>
            <w:r>
              <w:rPr>
                <w:rFonts w:hint="eastAsia"/>
                <w:kern w:val="0"/>
                <w:sz w:val="24"/>
                <w:szCs w:val="20"/>
              </w:rPr>
              <w:t>1.旗政府门户网站建设“重大建设项目”栏目，做好内容发布；2.加强招商引资政策的发布；3.加强重大建设项目的解读力度。</w:t>
            </w:r>
          </w:p>
        </w:tc>
        <w:tc>
          <w:tcPr>
            <w:tcW w:w="1985" w:type="dxa"/>
            <w:vMerge w:val="restart"/>
            <w:vAlign w:val="center"/>
          </w:tcPr>
          <w:p>
            <w:pPr>
              <w:rPr>
                <w:kern w:val="0"/>
                <w:sz w:val="24"/>
                <w:szCs w:val="20"/>
              </w:rPr>
            </w:pPr>
            <w:r>
              <w:rPr>
                <w:rFonts w:hint="eastAsia"/>
                <w:kern w:val="0"/>
                <w:sz w:val="24"/>
                <w:szCs w:val="20"/>
              </w:rPr>
              <w:t>旗发展和改革委员会及相关部门负责落实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Merge w:val="restart"/>
            <w:vAlign w:val="center"/>
          </w:tcPr>
          <w:p>
            <w:pPr>
              <w:rPr>
                <w:kern w:val="0"/>
                <w:sz w:val="24"/>
                <w:szCs w:val="20"/>
              </w:rPr>
            </w:pPr>
            <w:r>
              <w:rPr>
                <w:rFonts w:hint="eastAsia"/>
                <w:kern w:val="0"/>
                <w:sz w:val="24"/>
                <w:szCs w:val="20"/>
              </w:rPr>
              <w:t>聚焦推进项目建设、促进工业技改、先进制造业、新兴产业和创新成果转化等方面，加大工作成效的对外发布解读力度。以“常态化走出去、精准化引进来”为重点，切实提升招商引资政策的公开质量。</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Merge w:val="continue"/>
            <w:vAlign w:val="center"/>
          </w:tcPr>
          <w:p>
            <w:pPr>
              <w:rPr>
                <w:kern w:val="0"/>
                <w:sz w:val="24"/>
                <w:szCs w:val="20"/>
              </w:rPr>
            </w:pP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及时回应社会公众对重大建设项目的关切，以发布解读的“透”，引导市场预期的“稳”，助力扩大有效投资。</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（十三）促进消费扩容升级。</w:t>
            </w:r>
          </w:p>
        </w:tc>
        <w:tc>
          <w:tcPr>
            <w:tcW w:w="4565" w:type="dxa"/>
            <w:vAlign w:val="center"/>
          </w:tcPr>
          <w:p>
            <w:pPr>
              <w:rPr>
                <w:kern w:val="0"/>
                <w:sz w:val="24"/>
                <w:szCs w:val="20"/>
              </w:rPr>
            </w:pPr>
            <w:r>
              <w:rPr>
                <w:rFonts w:hint="eastAsia"/>
                <w:kern w:val="0"/>
                <w:sz w:val="24"/>
                <w:szCs w:val="20"/>
              </w:rPr>
              <w:t>切实做好对中小微企业、个体工商户、相关服务业支持政策和促进消费政策措施的公开工作。</w:t>
            </w:r>
          </w:p>
        </w:tc>
        <w:tc>
          <w:tcPr>
            <w:tcW w:w="2835" w:type="dxa"/>
            <w:vMerge w:val="restart"/>
            <w:vAlign w:val="center"/>
          </w:tcPr>
          <w:p>
            <w:pPr>
              <w:numPr>
                <w:ilvl w:val="0"/>
                <w:numId w:val="1"/>
              </w:numPr>
              <w:jc w:val="left"/>
              <w:rPr>
                <w:kern w:val="0"/>
                <w:sz w:val="24"/>
                <w:szCs w:val="20"/>
              </w:rPr>
            </w:pPr>
            <w:r>
              <w:rPr>
                <w:rFonts w:hint="eastAsia"/>
                <w:kern w:val="0"/>
                <w:sz w:val="24"/>
                <w:szCs w:val="20"/>
              </w:rPr>
              <w:t>加强促进消费扩容升级政策的公开、解读；2.依托12345政务服务便民热线、政府信息公开咨询电话、政务服务场所做好政策咨询服务。</w:t>
            </w:r>
          </w:p>
        </w:tc>
        <w:tc>
          <w:tcPr>
            <w:tcW w:w="1985" w:type="dxa"/>
            <w:vMerge w:val="restart"/>
            <w:vAlign w:val="center"/>
          </w:tcPr>
          <w:p>
            <w:pPr>
              <w:rPr>
                <w:kern w:val="0"/>
                <w:sz w:val="24"/>
                <w:szCs w:val="20"/>
              </w:rPr>
            </w:pPr>
            <w:r>
              <w:rPr>
                <w:rFonts w:hint="eastAsia"/>
                <w:kern w:val="0"/>
                <w:sz w:val="24"/>
                <w:szCs w:val="20"/>
              </w:rPr>
              <w:t>旗发展和改革委员会、旗工信和科技局、旗文化和旅游局、市场监督管理局，各苏木镇、街道负责落实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在推动假日消费、街区市场、门店商铺、夜间经济等方面，充分发挥政府信息公开和政策解读的引导指引作用。</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7"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各苏木镇、街道，各部门要立足扩大旅游消费、绿色农畜产品消费，促进新能源汽车推广应用，鼓励开展绿色智能家电下乡等方面，提供高效便捷的政策咨询服务，加大打击侵权假冒信息发布力度，营造良好消费环境。</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106" w:type="dxa"/>
            <w:vMerge w:val="restart"/>
            <w:vAlign w:val="center"/>
          </w:tcPr>
          <w:p>
            <w:pPr>
              <w:rPr>
                <w:kern w:val="0"/>
                <w:sz w:val="24"/>
                <w:szCs w:val="20"/>
              </w:rPr>
            </w:pPr>
            <w:r>
              <w:rPr>
                <w:rFonts w:hint="eastAsia"/>
                <w:kern w:val="0"/>
                <w:sz w:val="24"/>
                <w:szCs w:val="20"/>
              </w:rPr>
              <w:t>四、夯实基层基础，发挥平台作用</w:t>
            </w:r>
          </w:p>
          <w:p>
            <w:pPr>
              <w:rPr>
                <w:kern w:val="0"/>
                <w:sz w:val="24"/>
                <w:szCs w:val="20"/>
              </w:rPr>
            </w:pPr>
          </w:p>
        </w:tc>
        <w:tc>
          <w:tcPr>
            <w:tcW w:w="1241" w:type="dxa"/>
            <w:vMerge w:val="restart"/>
            <w:vAlign w:val="center"/>
          </w:tcPr>
          <w:p>
            <w:pPr>
              <w:rPr>
                <w:kern w:val="0"/>
                <w:sz w:val="24"/>
                <w:szCs w:val="20"/>
              </w:rPr>
            </w:pPr>
            <w:r>
              <w:rPr>
                <w:rFonts w:hint="eastAsia"/>
                <w:kern w:val="0"/>
                <w:sz w:val="24"/>
                <w:szCs w:val="20"/>
              </w:rPr>
              <w:t>（十四）持续推进基层政务公开标准化规范化工作。</w:t>
            </w:r>
          </w:p>
        </w:tc>
        <w:tc>
          <w:tcPr>
            <w:tcW w:w="4565" w:type="dxa"/>
            <w:vAlign w:val="center"/>
          </w:tcPr>
          <w:p>
            <w:pPr>
              <w:rPr>
                <w:kern w:val="0"/>
                <w:sz w:val="24"/>
                <w:szCs w:val="20"/>
              </w:rPr>
            </w:pPr>
            <w:r>
              <w:rPr>
                <w:rFonts w:hint="eastAsia"/>
                <w:kern w:val="0"/>
                <w:sz w:val="24"/>
                <w:szCs w:val="20"/>
              </w:rPr>
              <w:t>参考国务院有关部门印发的26个试点领域标准指引，继续更新完善基层政务公开事项标准目录。</w:t>
            </w:r>
          </w:p>
        </w:tc>
        <w:tc>
          <w:tcPr>
            <w:tcW w:w="2835" w:type="dxa"/>
            <w:vAlign w:val="center"/>
          </w:tcPr>
          <w:p>
            <w:pPr>
              <w:rPr>
                <w:kern w:val="0"/>
                <w:sz w:val="24"/>
                <w:szCs w:val="20"/>
              </w:rPr>
            </w:pPr>
            <w:r>
              <w:rPr>
                <w:rFonts w:hint="eastAsia"/>
                <w:kern w:val="0"/>
                <w:sz w:val="24"/>
                <w:szCs w:val="20"/>
              </w:rPr>
              <w:t>继续更新完善26个试点领域政务公开标准目录。</w:t>
            </w:r>
          </w:p>
        </w:tc>
        <w:tc>
          <w:tcPr>
            <w:tcW w:w="1985" w:type="dxa"/>
            <w:vAlign w:val="center"/>
          </w:tcPr>
          <w:p>
            <w:pPr>
              <w:rPr>
                <w:kern w:val="0"/>
                <w:sz w:val="24"/>
                <w:szCs w:val="20"/>
              </w:rPr>
            </w:pPr>
            <w:r>
              <w:rPr>
                <w:rFonts w:hint="eastAsia"/>
                <w:kern w:val="0"/>
                <w:sz w:val="24"/>
                <w:szCs w:val="20"/>
              </w:rPr>
              <w:t>各苏木镇、街道及政府相关部门负责落实</w:t>
            </w:r>
          </w:p>
        </w:tc>
        <w:tc>
          <w:tcPr>
            <w:tcW w:w="1276" w:type="dxa"/>
            <w:vAlign w:val="center"/>
          </w:tcPr>
          <w:p>
            <w:pPr>
              <w:jc w:val="center"/>
              <w:rPr>
                <w:kern w:val="0"/>
                <w:sz w:val="24"/>
                <w:szCs w:val="20"/>
              </w:rPr>
            </w:pPr>
            <w:r>
              <w:rPr>
                <w:rFonts w:hint="eastAsia"/>
                <w:kern w:val="0"/>
                <w:sz w:val="24"/>
                <w:szCs w:val="20"/>
              </w:rPr>
              <w:t>2022年11月底前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各苏木镇街道要汇总当年面向农村牧区的各类惠民惠农惠牧财政补贴资金实际发放结果，年底前以嘎查村、社区为单位通过嘎查村、社区信息公开栏公开，公示期满后在嘎查村、社区建档留存，以便群众查询。</w:t>
            </w:r>
          </w:p>
        </w:tc>
        <w:tc>
          <w:tcPr>
            <w:tcW w:w="2835" w:type="dxa"/>
            <w:vAlign w:val="center"/>
          </w:tcPr>
          <w:p>
            <w:pPr>
              <w:rPr>
                <w:kern w:val="0"/>
                <w:sz w:val="24"/>
                <w:szCs w:val="20"/>
              </w:rPr>
            </w:pPr>
            <w:r>
              <w:rPr>
                <w:rFonts w:hint="eastAsia"/>
                <w:kern w:val="0"/>
                <w:sz w:val="24"/>
                <w:szCs w:val="20"/>
              </w:rPr>
              <w:t>年底前完成汇总、公开、建档工作。</w:t>
            </w:r>
          </w:p>
        </w:tc>
        <w:tc>
          <w:tcPr>
            <w:tcW w:w="1985" w:type="dxa"/>
            <w:vAlign w:val="center"/>
          </w:tcPr>
          <w:p>
            <w:pPr>
              <w:rPr>
                <w:kern w:val="0"/>
                <w:sz w:val="24"/>
                <w:szCs w:val="20"/>
              </w:rPr>
            </w:pPr>
            <w:r>
              <w:rPr>
                <w:rFonts w:hint="eastAsia"/>
                <w:kern w:val="0"/>
                <w:sz w:val="24"/>
                <w:szCs w:val="20"/>
              </w:rPr>
              <w:t>各苏木镇街道负责落实</w:t>
            </w:r>
          </w:p>
        </w:tc>
        <w:tc>
          <w:tcPr>
            <w:tcW w:w="1276" w:type="dxa"/>
            <w:vAlign w:val="center"/>
          </w:tcPr>
          <w:p>
            <w:pPr>
              <w:jc w:val="center"/>
              <w:rPr>
                <w:kern w:val="0"/>
                <w:sz w:val="24"/>
                <w:szCs w:val="20"/>
              </w:rPr>
            </w:pPr>
            <w:r>
              <w:rPr>
                <w:rFonts w:hint="eastAsia"/>
                <w:kern w:val="0"/>
                <w:sz w:val="24"/>
                <w:szCs w:val="20"/>
              </w:rPr>
              <w:t>2022年11月底前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坚持需求导向，加强改进基层政府信息公开窗口建设，更好适应基层群众需求，提升电话解答、现场解答政策的水平。</w:t>
            </w:r>
          </w:p>
        </w:tc>
        <w:tc>
          <w:tcPr>
            <w:tcW w:w="2835" w:type="dxa"/>
            <w:vAlign w:val="center"/>
          </w:tcPr>
          <w:p>
            <w:pPr>
              <w:rPr>
                <w:kern w:val="0"/>
                <w:sz w:val="24"/>
                <w:szCs w:val="20"/>
              </w:rPr>
            </w:pPr>
            <w:r>
              <w:rPr>
                <w:rFonts w:hint="eastAsia"/>
                <w:kern w:val="0"/>
                <w:sz w:val="24"/>
                <w:szCs w:val="20"/>
              </w:rPr>
              <w:t>1.旗人民政府结合本地实际，提升基层政府信息公开窗口政策解答水平；2.以需求为导向开展政策宣讲工作。</w:t>
            </w:r>
          </w:p>
        </w:tc>
        <w:tc>
          <w:tcPr>
            <w:tcW w:w="1985" w:type="dxa"/>
            <w:vAlign w:val="center"/>
          </w:tcPr>
          <w:p>
            <w:pPr>
              <w:rPr>
                <w:kern w:val="0"/>
                <w:sz w:val="24"/>
                <w:szCs w:val="20"/>
              </w:rPr>
            </w:pPr>
            <w:r>
              <w:rPr>
                <w:rFonts w:hint="eastAsia"/>
                <w:kern w:val="0"/>
                <w:sz w:val="24"/>
                <w:szCs w:val="20"/>
              </w:rPr>
              <w:t>旗政府各相关部门负责落实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4"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（十五）深化政务公开标准建设。</w:t>
            </w:r>
          </w:p>
        </w:tc>
        <w:tc>
          <w:tcPr>
            <w:tcW w:w="4565" w:type="dxa"/>
            <w:vAlign w:val="center"/>
          </w:tcPr>
          <w:p>
            <w:pPr>
              <w:rPr>
                <w:kern w:val="0"/>
                <w:sz w:val="24"/>
                <w:szCs w:val="20"/>
              </w:rPr>
            </w:pPr>
            <w:r>
              <w:rPr>
                <w:rFonts w:hint="eastAsia"/>
                <w:kern w:val="0"/>
                <w:sz w:val="24"/>
                <w:szCs w:val="20"/>
              </w:rPr>
              <w:t>组织培训学习《政府信息主动公开工作规范》《政府信息依申请公开工作规范》《政府信息公开指南编制规范》《政府信息公开工作年度报告编制规范》《政府信息公开平台建设规范》《政策解读工作规范》《政务公开标准目录编制规范》《政务公开绩效考核规范》等8项自治区地方标准，提升应用水平。</w:t>
            </w:r>
          </w:p>
        </w:tc>
        <w:tc>
          <w:tcPr>
            <w:tcW w:w="2835" w:type="dxa"/>
            <w:vAlign w:val="center"/>
          </w:tcPr>
          <w:p>
            <w:pPr>
              <w:rPr>
                <w:kern w:val="0"/>
                <w:sz w:val="24"/>
                <w:szCs w:val="20"/>
              </w:rPr>
            </w:pPr>
            <w:r>
              <w:rPr>
                <w:rFonts w:hint="eastAsia"/>
                <w:kern w:val="0"/>
                <w:sz w:val="24"/>
                <w:szCs w:val="20"/>
              </w:rPr>
              <w:t>年底前至少组织1次业务培训，推动8项地方标准的应用水平。</w:t>
            </w: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各苏木镇、街道，各部门要切实做好政务公开地方标准落实情况“回头看”工作，逐项核查落实情况，确保工作实效。</w:t>
            </w:r>
          </w:p>
        </w:tc>
        <w:tc>
          <w:tcPr>
            <w:tcW w:w="2835" w:type="dxa"/>
            <w:vAlign w:val="center"/>
          </w:tcPr>
          <w:p>
            <w:pPr>
              <w:rPr>
                <w:kern w:val="0"/>
                <w:sz w:val="24"/>
                <w:szCs w:val="20"/>
              </w:rPr>
            </w:pPr>
            <w:r>
              <w:rPr>
                <w:rFonts w:hint="eastAsia"/>
                <w:kern w:val="0"/>
                <w:sz w:val="24"/>
                <w:szCs w:val="20"/>
              </w:rPr>
              <w:t>6月底、9月底、12月底各开展一次“回头看”工作，做好督查和通报、整改工作。</w:t>
            </w: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2022年11月底前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（十六）提升依申请公开规范化信息化水平。</w:t>
            </w:r>
          </w:p>
        </w:tc>
        <w:tc>
          <w:tcPr>
            <w:tcW w:w="4565" w:type="dxa"/>
            <w:vAlign w:val="center"/>
          </w:tcPr>
          <w:p>
            <w:pPr>
              <w:rPr>
                <w:kern w:val="0"/>
                <w:sz w:val="24"/>
                <w:szCs w:val="20"/>
              </w:rPr>
            </w:pPr>
            <w:r>
              <w:rPr>
                <w:rFonts w:hint="eastAsia"/>
                <w:kern w:val="0"/>
                <w:sz w:val="24"/>
                <w:szCs w:val="20"/>
              </w:rPr>
              <w:t>规范使用自治区政府信息依申请公开系统，提升全旗政府信息公开申请“一网通办”能力。</w:t>
            </w:r>
          </w:p>
        </w:tc>
        <w:tc>
          <w:tcPr>
            <w:tcW w:w="2835" w:type="dxa"/>
            <w:vMerge w:val="restart"/>
            <w:vAlign w:val="center"/>
          </w:tcPr>
          <w:p>
            <w:pPr>
              <w:rPr>
                <w:kern w:val="0"/>
                <w:sz w:val="24"/>
                <w:szCs w:val="20"/>
              </w:rPr>
            </w:pPr>
            <w:r>
              <w:rPr>
                <w:rFonts w:hint="eastAsia"/>
                <w:kern w:val="0"/>
                <w:sz w:val="24"/>
                <w:szCs w:val="20"/>
              </w:rPr>
              <w:t>1.全旗各苏木镇人民政府、街道办事处、旗政府各组成部门正在接入自治区政府信息依申请公开系统；2.严格执行规定的收费标准和程序。</w:t>
            </w:r>
          </w:p>
          <w:p>
            <w:pPr>
              <w:rPr>
                <w:kern w:val="0"/>
                <w:sz w:val="24"/>
                <w:szCs w:val="20"/>
              </w:rPr>
            </w:pPr>
          </w:p>
          <w:p>
            <w:pPr>
              <w:rPr>
                <w:kern w:val="0"/>
                <w:sz w:val="24"/>
                <w:szCs w:val="20"/>
              </w:rPr>
            </w:pP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Merge w:val="restart"/>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1"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严格执行《政府信息公开信息处理费管理办法》（国办函〔2020〕109号）、《内蒙古自治区财政厅 发改委 政务服务局关于明确政府信息公开信息处理费收费管理有关事项的通知》（内财税〔2021〕785号）规定的收费标准和程序。</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（十七）加强政府网站建设维护。</w:t>
            </w:r>
          </w:p>
        </w:tc>
        <w:tc>
          <w:tcPr>
            <w:tcW w:w="4565" w:type="dxa"/>
            <w:vAlign w:val="center"/>
          </w:tcPr>
          <w:p>
            <w:pPr>
              <w:rPr>
                <w:kern w:val="0"/>
                <w:sz w:val="24"/>
                <w:szCs w:val="20"/>
              </w:rPr>
            </w:pPr>
            <w:r>
              <w:rPr>
                <w:rFonts w:hint="eastAsia"/>
                <w:kern w:val="0"/>
                <w:sz w:val="24"/>
                <w:szCs w:val="20"/>
              </w:rPr>
              <w:t>加强政府网站内容管理，确保信息发布流程完善、内容准确、导向正确。围绕政府工作重点和社会公众关注热点，合理调整设置网站专题专栏。</w:t>
            </w:r>
          </w:p>
        </w:tc>
        <w:tc>
          <w:tcPr>
            <w:tcW w:w="2835" w:type="dxa"/>
            <w:vMerge w:val="restart"/>
            <w:vAlign w:val="center"/>
          </w:tcPr>
          <w:p>
            <w:pPr>
              <w:rPr>
                <w:color w:val="FF0000"/>
                <w:kern w:val="0"/>
                <w:sz w:val="24"/>
                <w:szCs w:val="20"/>
              </w:rPr>
            </w:pPr>
            <w:r>
              <w:rPr>
                <w:rFonts w:hint="eastAsia"/>
                <w:kern w:val="0"/>
                <w:sz w:val="24"/>
                <w:szCs w:val="20"/>
              </w:rPr>
              <w:t>1.进一步优化政府网站内容管理，提升专栏建设水平。2.严格落实信息发布审查机制，及时发现和纠正错敏信息。</w:t>
            </w: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严格落实网络意识形态工作责任制，建立健全政府信息公开审查机制，确保政府网站与政务新媒体安全平稳运行。</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（十八）加强对政务新媒体的建设管理。</w:t>
            </w:r>
          </w:p>
        </w:tc>
        <w:tc>
          <w:tcPr>
            <w:tcW w:w="4565" w:type="dxa"/>
            <w:vAlign w:val="center"/>
          </w:tcPr>
          <w:p>
            <w:pPr>
              <w:rPr>
                <w:kern w:val="0"/>
                <w:sz w:val="24"/>
                <w:szCs w:val="20"/>
              </w:rPr>
            </w:pPr>
            <w:r>
              <w:rPr>
                <w:rFonts w:hint="eastAsia"/>
                <w:kern w:val="0"/>
                <w:sz w:val="24"/>
                <w:szCs w:val="20"/>
              </w:rPr>
              <w:t>政务新媒体主管部门加强对本地区政务新媒体建设管理工作的指导监督，推进政务新媒体规范运行、健康有序发展。</w:t>
            </w:r>
          </w:p>
        </w:tc>
        <w:tc>
          <w:tcPr>
            <w:tcW w:w="2835" w:type="dxa"/>
            <w:vMerge w:val="restart"/>
            <w:vAlign w:val="center"/>
          </w:tcPr>
          <w:p>
            <w:pPr>
              <w:rPr>
                <w:kern w:val="0"/>
                <w:sz w:val="24"/>
                <w:szCs w:val="20"/>
              </w:rPr>
            </w:pPr>
            <w:r>
              <w:rPr>
                <w:rFonts w:hint="eastAsia"/>
                <w:kern w:val="0"/>
                <w:sz w:val="24"/>
                <w:szCs w:val="20"/>
              </w:rPr>
              <w:t>1.严格按照《内蒙古自治区人民政府办公厅关于进一步做好政府网站和政务新媒体管理工作的通知》要求，加强指导监督政务新媒体建设管理，规范开设、整合、备案制度；2.加强功能建设，深化公开功能，完善政民互动功能、集成办事服务功能；3.加强运维功能，完善信息发布、运维管理机制，做好安全防护工作。</w:t>
            </w: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明确政务新媒体功能定位，不断优化发布解读、政民互动、办事服务等功能，加强专题专栏建设，为企业和群众提供更便捷实用的移动服务。</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严格落实内容发布审核制度，坚持分级分类审核、先审后发，明确审核主体、审核流程，严把政治关、法律关、政策关、内容关、保密关、文字关，强化与政府网站的稿源互通，积极发挥政务新媒体的传播优势。</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1106" w:type="dxa"/>
            <w:vMerge w:val="restart"/>
            <w:vAlign w:val="center"/>
          </w:tcPr>
          <w:p>
            <w:pPr>
              <w:rPr>
                <w:kern w:val="0"/>
                <w:sz w:val="24"/>
                <w:szCs w:val="20"/>
              </w:rPr>
            </w:pPr>
            <w:r>
              <w:rPr>
                <w:rFonts w:hint="eastAsia"/>
                <w:kern w:val="0"/>
                <w:sz w:val="24"/>
                <w:szCs w:val="20"/>
              </w:rPr>
              <w:t>五、强化指导监督，形成工作合力</w:t>
            </w:r>
          </w:p>
        </w:tc>
        <w:tc>
          <w:tcPr>
            <w:tcW w:w="1241" w:type="dxa"/>
            <w:vMerge w:val="restart"/>
            <w:vAlign w:val="center"/>
          </w:tcPr>
          <w:p>
            <w:pPr>
              <w:rPr>
                <w:kern w:val="0"/>
                <w:sz w:val="24"/>
                <w:szCs w:val="20"/>
              </w:rPr>
            </w:pPr>
            <w:r>
              <w:rPr>
                <w:rFonts w:hint="eastAsia"/>
                <w:kern w:val="0"/>
                <w:sz w:val="24"/>
                <w:szCs w:val="20"/>
              </w:rPr>
              <w:t>（十九）强化组织领导。</w:t>
            </w:r>
          </w:p>
        </w:tc>
        <w:tc>
          <w:tcPr>
            <w:tcW w:w="4565" w:type="dxa"/>
            <w:vAlign w:val="center"/>
          </w:tcPr>
          <w:p>
            <w:pPr>
              <w:rPr>
                <w:kern w:val="0"/>
                <w:sz w:val="24"/>
                <w:szCs w:val="20"/>
              </w:rPr>
            </w:pPr>
            <w:r>
              <w:rPr>
                <w:rFonts w:hint="eastAsia"/>
                <w:kern w:val="0"/>
                <w:sz w:val="24"/>
                <w:szCs w:val="20"/>
              </w:rPr>
              <w:t>各苏木镇、街道，各部门要切实加强组织领导，压实责任，健全机制，强化内部管理和内部衔接，确保各项工作的连续性。</w:t>
            </w:r>
          </w:p>
        </w:tc>
        <w:tc>
          <w:tcPr>
            <w:tcW w:w="2835" w:type="dxa"/>
            <w:vMerge w:val="restart"/>
            <w:vAlign w:val="center"/>
          </w:tcPr>
          <w:p>
            <w:pPr>
              <w:rPr>
                <w:kern w:val="0"/>
                <w:sz w:val="24"/>
                <w:szCs w:val="20"/>
              </w:rPr>
            </w:pPr>
            <w:r>
              <w:rPr>
                <w:rFonts w:hint="eastAsia"/>
                <w:kern w:val="0"/>
                <w:sz w:val="24"/>
                <w:szCs w:val="20"/>
              </w:rPr>
              <w:t>加强组织领导，落实主管部门责任，加强协调、监督工作。</w:t>
            </w: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Merge w:val="restart"/>
            <w:vAlign w:val="center"/>
          </w:tcPr>
          <w:p>
            <w:pPr>
              <w:jc w:val="center"/>
              <w:rPr>
                <w:kern w:val="0"/>
                <w:sz w:val="24"/>
                <w:szCs w:val="20"/>
              </w:rPr>
            </w:pPr>
            <w:r>
              <w:rPr>
                <w:rFonts w:hint="eastAsia"/>
                <w:kern w:val="0"/>
                <w:sz w:val="24"/>
                <w:szCs w:val="20"/>
              </w:rPr>
              <w:t>全年持续推进</w:t>
            </w:r>
          </w:p>
        </w:tc>
        <w:tc>
          <w:tcPr>
            <w:tcW w:w="1134" w:type="dxa"/>
            <w:vMerge w:val="restart"/>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旗政务公开领导小组要切实发挥作用，协调解决政务公开的纵深发展和疑难瓶颈问题。</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Merge w:val="continue"/>
            <w:vAlign w:val="center"/>
          </w:tcPr>
          <w:p>
            <w:pPr>
              <w:jc w:val="center"/>
              <w:rPr>
                <w:kern w:val="0"/>
                <w:sz w:val="24"/>
                <w:szCs w:val="20"/>
              </w:rPr>
            </w:pPr>
          </w:p>
        </w:tc>
        <w:tc>
          <w:tcPr>
            <w:tcW w:w="1134" w:type="dxa"/>
            <w:vMerge w:val="continue"/>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涉及基层政务公开标准化规范化工作和上级部门已印发相关企事业单位信息公开制度的旗政府组成部门要加强对相关工作的指导监督，落实主管部门责任，确保工作推进到位。</w:t>
            </w:r>
          </w:p>
        </w:tc>
        <w:tc>
          <w:tcPr>
            <w:tcW w:w="2835" w:type="dxa"/>
            <w:vMerge w:val="continue"/>
            <w:vAlign w:val="center"/>
          </w:tcPr>
          <w:p>
            <w:pPr>
              <w:rPr>
                <w:kern w:val="0"/>
                <w:sz w:val="24"/>
                <w:szCs w:val="20"/>
              </w:rPr>
            </w:pPr>
          </w:p>
        </w:tc>
        <w:tc>
          <w:tcPr>
            <w:tcW w:w="1985" w:type="dxa"/>
            <w:vAlign w:val="center"/>
          </w:tcPr>
          <w:p>
            <w:pPr>
              <w:rPr>
                <w:kern w:val="0"/>
                <w:sz w:val="24"/>
                <w:szCs w:val="20"/>
              </w:rPr>
            </w:pPr>
            <w:r>
              <w:rPr>
                <w:rFonts w:hint="eastAsia"/>
                <w:kern w:val="0"/>
                <w:sz w:val="24"/>
                <w:szCs w:val="20"/>
              </w:rPr>
              <w:t>涉及基层政务公开标准化规范化工作的旗级有关部门和公共企事业单位信息公开工作主管部门负责落实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（二十）强化队伍建设。</w:t>
            </w:r>
          </w:p>
        </w:tc>
        <w:tc>
          <w:tcPr>
            <w:tcW w:w="4565" w:type="dxa"/>
            <w:vAlign w:val="center"/>
          </w:tcPr>
          <w:p>
            <w:pPr>
              <w:rPr>
                <w:kern w:val="0"/>
                <w:sz w:val="24"/>
                <w:szCs w:val="20"/>
              </w:rPr>
            </w:pPr>
            <w:r>
              <w:rPr>
                <w:rFonts w:hint="eastAsia"/>
                <w:kern w:val="0"/>
                <w:sz w:val="24"/>
                <w:szCs w:val="20"/>
              </w:rPr>
              <w:t>抓好人员梯队建设，保持政务公开队伍基本稳定。</w:t>
            </w:r>
          </w:p>
        </w:tc>
        <w:tc>
          <w:tcPr>
            <w:tcW w:w="2835" w:type="dxa"/>
            <w:vMerge w:val="restart"/>
            <w:vAlign w:val="center"/>
          </w:tcPr>
          <w:p>
            <w:pPr>
              <w:rPr>
                <w:kern w:val="0"/>
                <w:sz w:val="24"/>
                <w:szCs w:val="20"/>
              </w:rPr>
            </w:pPr>
            <w:r>
              <w:rPr>
                <w:rFonts w:hint="eastAsia"/>
                <w:kern w:val="0"/>
                <w:sz w:val="24"/>
                <w:szCs w:val="20"/>
              </w:rPr>
              <w:t>1.做好人员变更交接工作，及时向政务服务局报备分管领导及工作人员变更情况；2.年底前组织1次以上政务公开业务培训。</w:t>
            </w:r>
          </w:p>
        </w:tc>
        <w:tc>
          <w:tcPr>
            <w:tcW w:w="1985" w:type="dxa"/>
            <w:vMerge w:val="restart"/>
            <w:vAlign w:val="center"/>
          </w:tcPr>
          <w:p>
            <w:pPr>
              <w:rPr>
                <w:kern w:val="0"/>
                <w:sz w:val="24"/>
                <w:szCs w:val="20"/>
              </w:rPr>
            </w:pPr>
            <w:r>
              <w:rPr>
                <w:rFonts w:hint="eastAsia"/>
                <w:kern w:val="0"/>
                <w:sz w:val="24"/>
                <w:szCs w:val="20"/>
              </w:rPr>
              <w:t>旗政务服务局负责牵头落实</w:t>
            </w:r>
          </w:p>
        </w:tc>
        <w:tc>
          <w:tcPr>
            <w:tcW w:w="1276" w:type="dxa"/>
            <w:vAlign w:val="center"/>
          </w:tcPr>
          <w:p>
            <w:pPr>
              <w:jc w:val="center"/>
              <w:rPr>
                <w:kern w:val="0"/>
                <w:sz w:val="24"/>
                <w:szCs w:val="20"/>
              </w:rPr>
            </w:pPr>
            <w:r>
              <w:rPr>
                <w:rFonts w:hint="eastAsia"/>
                <w:kern w:val="0"/>
                <w:sz w:val="24"/>
                <w:szCs w:val="20"/>
              </w:rPr>
              <w:t>全年持续推进</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各单位要切实落实全旗政务公开业务培训的人员参训率，同时要适时组织开展本单位的政务公开通识培训。</w:t>
            </w:r>
          </w:p>
        </w:tc>
        <w:tc>
          <w:tcPr>
            <w:tcW w:w="2835" w:type="dxa"/>
            <w:vMerge w:val="continue"/>
            <w:vAlign w:val="center"/>
          </w:tcPr>
          <w:p>
            <w:pPr>
              <w:rPr>
                <w:kern w:val="0"/>
                <w:sz w:val="24"/>
                <w:szCs w:val="20"/>
              </w:rPr>
            </w:pPr>
          </w:p>
        </w:tc>
        <w:tc>
          <w:tcPr>
            <w:tcW w:w="1985" w:type="dxa"/>
            <w:vMerge w:val="continue"/>
            <w:vAlign w:val="center"/>
          </w:tcPr>
          <w:p>
            <w:pPr>
              <w:rPr>
                <w:kern w:val="0"/>
                <w:sz w:val="24"/>
                <w:szCs w:val="20"/>
              </w:rPr>
            </w:pPr>
          </w:p>
        </w:tc>
        <w:tc>
          <w:tcPr>
            <w:tcW w:w="1276" w:type="dxa"/>
            <w:vAlign w:val="center"/>
          </w:tcPr>
          <w:p>
            <w:pPr>
              <w:jc w:val="center"/>
              <w:rPr>
                <w:kern w:val="0"/>
                <w:sz w:val="24"/>
                <w:szCs w:val="20"/>
              </w:rPr>
            </w:pPr>
            <w:r>
              <w:rPr>
                <w:rFonts w:hint="eastAsia"/>
                <w:kern w:val="0"/>
                <w:sz w:val="24"/>
                <w:szCs w:val="20"/>
              </w:rPr>
              <w:t>2022年11月底前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（二十一）强化监督保障。</w:t>
            </w:r>
          </w:p>
        </w:tc>
        <w:tc>
          <w:tcPr>
            <w:tcW w:w="4565" w:type="dxa"/>
            <w:vAlign w:val="center"/>
          </w:tcPr>
          <w:p>
            <w:pPr>
              <w:rPr>
                <w:kern w:val="0"/>
                <w:sz w:val="24"/>
                <w:szCs w:val="20"/>
              </w:rPr>
            </w:pPr>
            <w:r>
              <w:rPr>
                <w:rFonts w:hint="eastAsia"/>
                <w:kern w:val="0"/>
                <w:sz w:val="24"/>
                <w:szCs w:val="20"/>
              </w:rPr>
              <w:t>各苏木镇、街道，各部门要对照本要点部署的工作任务，按时积极推进，确保落实到位。</w:t>
            </w:r>
          </w:p>
        </w:tc>
        <w:tc>
          <w:tcPr>
            <w:tcW w:w="2835" w:type="dxa"/>
            <w:vMerge w:val="restart"/>
            <w:vAlign w:val="center"/>
          </w:tcPr>
          <w:p>
            <w:pPr>
              <w:rPr>
                <w:kern w:val="0"/>
                <w:sz w:val="24"/>
                <w:szCs w:val="20"/>
              </w:rPr>
            </w:pPr>
            <w:r>
              <w:rPr>
                <w:rFonts w:hint="eastAsia"/>
                <w:kern w:val="0"/>
                <w:sz w:val="24"/>
                <w:szCs w:val="20"/>
              </w:rPr>
              <w:t>1.积极推进要点工作任务，按季度调度工作进展落实；2.加强政府信息公开工作年度报告调度，组织各部门开展自查、整改。</w:t>
            </w:r>
          </w:p>
        </w:tc>
        <w:tc>
          <w:tcPr>
            <w:tcW w:w="1985" w:type="dxa"/>
            <w:vMerge w:val="restart"/>
            <w:vAlign w:val="center"/>
          </w:tcPr>
          <w:p>
            <w:pPr>
              <w:rPr>
                <w:kern w:val="0"/>
                <w:sz w:val="24"/>
                <w:szCs w:val="20"/>
              </w:rPr>
            </w:pPr>
            <w:r>
              <w:rPr>
                <w:rFonts w:hint="eastAsia"/>
                <w:kern w:val="0"/>
                <w:sz w:val="24"/>
                <w:szCs w:val="20"/>
              </w:rPr>
              <w:t>旗政务服务局牵头，指导、推动、监督各部门开展工作</w:t>
            </w:r>
          </w:p>
        </w:tc>
        <w:tc>
          <w:tcPr>
            <w:tcW w:w="1276" w:type="dxa"/>
            <w:vAlign w:val="center"/>
          </w:tcPr>
          <w:p>
            <w:pPr>
              <w:jc w:val="center"/>
              <w:rPr>
                <w:kern w:val="0"/>
                <w:sz w:val="24"/>
                <w:szCs w:val="20"/>
              </w:rPr>
            </w:pPr>
            <w:r>
              <w:rPr>
                <w:rFonts w:hint="eastAsia"/>
                <w:kern w:val="0"/>
                <w:sz w:val="24"/>
                <w:szCs w:val="20"/>
              </w:rPr>
              <w:t>2022年12月底前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1106" w:type="dxa"/>
            <w:vMerge w:val="continue"/>
            <w:vAlign w:val="center"/>
          </w:tcPr>
          <w:p>
            <w:pPr>
              <w:rPr>
                <w:kern w:val="0"/>
                <w:sz w:val="24"/>
                <w:szCs w:val="20"/>
              </w:rPr>
            </w:pPr>
          </w:p>
        </w:tc>
        <w:tc>
          <w:tcPr>
            <w:tcW w:w="1241" w:type="dxa"/>
            <w:vMerge w:val="continue"/>
            <w:vAlign w:val="center"/>
          </w:tcPr>
          <w:p>
            <w:pPr>
              <w:rPr>
                <w:kern w:val="0"/>
                <w:sz w:val="24"/>
                <w:szCs w:val="20"/>
              </w:rPr>
            </w:pPr>
          </w:p>
        </w:tc>
        <w:tc>
          <w:tcPr>
            <w:tcW w:w="4565" w:type="dxa"/>
            <w:vAlign w:val="center"/>
          </w:tcPr>
          <w:p>
            <w:pPr>
              <w:rPr>
                <w:kern w:val="0"/>
                <w:sz w:val="24"/>
                <w:szCs w:val="20"/>
              </w:rPr>
            </w:pPr>
            <w:r>
              <w:rPr>
                <w:rFonts w:hint="eastAsia"/>
                <w:kern w:val="0"/>
                <w:sz w:val="24"/>
                <w:szCs w:val="20"/>
              </w:rPr>
              <w:t>旗政务公开领导小组办公室要加强对全旗政务公开工作的日常指导、监督和巡查，定期通报各项工作落实情况，加强对政府信息公开工作年度报告编制、发布的调度，对不按时发布、发布内容不准确不全面或者发布内容雷同、敷衍塞责并造成不良后果的，严肃追究有关负责人和直接责任人责任。</w:t>
            </w:r>
          </w:p>
        </w:tc>
        <w:tc>
          <w:tcPr>
            <w:tcW w:w="2835" w:type="dxa"/>
            <w:vMerge w:val="continue"/>
            <w:vAlign w:val="center"/>
          </w:tcPr>
          <w:p>
            <w:pPr>
              <w:rPr>
                <w:kern w:val="0"/>
                <w:sz w:val="24"/>
                <w:szCs w:val="20"/>
              </w:rPr>
            </w:pPr>
          </w:p>
        </w:tc>
        <w:tc>
          <w:tcPr>
            <w:tcW w:w="1985" w:type="dxa"/>
            <w:vMerge w:val="continue"/>
            <w:vAlign w:val="center"/>
          </w:tcPr>
          <w:p>
            <w:pPr>
              <w:jc w:val="center"/>
              <w:rPr>
                <w:kern w:val="0"/>
                <w:sz w:val="24"/>
                <w:szCs w:val="20"/>
              </w:rPr>
            </w:pPr>
          </w:p>
        </w:tc>
        <w:tc>
          <w:tcPr>
            <w:tcW w:w="1276" w:type="dxa"/>
            <w:vAlign w:val="center"/>
          </w:tcPr>
          <w:p>
            <w:pPr>
              <w:jc w:val="center"/>
              <w:rPr>
                <w:kern w:val="0"/>
                <w:sz w:val="24"/>
                <w:szCs w:val="20"/>
              </w:rPr>
            </w:pPr>
            <w:r>
              <w:rPr>
                <w:rFonts w:hint="eastAsia"/>
                <w:kern w:val="0"/>
                <w:sz w:val="24"/>
                <w:szCs w:val="20"/>
              </w:rPr>
              <w:t>2022年12月底前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pPr>
              <w:rPr>
                <w:kern w:val="0"/>
                <w:sz w:val="24"/>
                <w:szCs w:val="20"/>
              </w:rPr>
            </w:pPr>
          </w:p>
        </w:tc>
        <w:tc>
          <w:tcPr>
            <w:tcW w:w="1241" w:type="dxa"/>
            <w:vMerge w:val="restart"/>
            <w:vAlign w:val="center"/>
          </w:tcPr>
          <w:p>
            <w:pPr>
              <w:rPr>
                <w:kern w:val="0"/>
                <w:sz w:val="24"/>
                <w:szCs w:val="20"/>
              </w:rPr>
            </w:pPr>
            <w:r>
              <w:rPr>
                <w:rFonts w:hint="eastAsia"/>
                <w:kern w:val="0"/>
                <w:sz w:val="24"/>
                <w:szCs w:val="20"/>
              </w:rPr>
              <w:t>（二十二）强化工作落实。</w:t>
            </w:r>
          </w:p>
        </w:tc>
        <w:tc>
          <w:tcPr>
            <w:tcW w:w="4565" w:type="dxa"/>
            <w:vAlign w:val="center"/>
          </w:tcPr>
          <w:p>
            <w:pPr>
              <w:rPr>
                <w:kern w:val="0"/>
                <w:sz w:val="24"/>
                <w:szCs w:val="20"/>
              </w:rPr>
            </w:pPr>
            <w:r>
              <w:rPr>
                <w:rFonts w:hint="eastAsia" w:cs="Times New Roman"/>
                <w:kern w:val="0"/>
                <w:sz w:val="24"/>
                <w:szCs w:val="20"/>
              </w:rPr>
              <w:t>在本工作要点印发后15日内，</w:t>
            </w:r>
            <w:r>
              <w:rPr>
                <w:rFonts w:hint="eastAsia"/>
                <w:kern w:val="0"/>
                <w:sz w:val="24"/>
                <w:szCs w:val="20"/>
              </w:rPr>
              <w:t>各苏木镇、街道，</w:t>
            </w:r>
            <w:r>
              <w:rPr>
                <w:rFonts w:hint="eastAsia" w:cs="Times New Roman"/>
                <w:kern w:val="0"/>
                <w:sz w:val="24"/>
                <w:szCs w:val="20"/>
              </w:rPr>
              <w:t>各部门要梳理形成工作台账,对重点工作和重点任务，要做好分解，实时跟进推动，确保落实到位。</w:t>
            </w:r>
          </w:p>
        </w:tc>
        <w:tc>
          <w:tcPr>
            <w:tcW w:w="2835" w:type="dxa"/>
            <w:vMerge w:val="restart"/>
            <w:vAlign w:val="center"/>
          </w:tcPr>
          <w:p>
            <w:pPr>
              <w:rPr>
                <w:kern w:val="0"/>
                <w:sz w:val="24"/>
                <w:szCs w:val="20"/>
              </w:rPr>
            </w:pPr>
            <w:r>
              <w:rPr>
                <w:rFonts w:hint="eastAsia"/>
                <w:kern w:val="0"/>
                <w:sz w:val="24"/>
                <w:szCs w:val="20"/>
              </w:rPr>
              <w:t>1.在本工作要点印发后15日内，梳理形成本地工作台账，台账应当包括：具体任务、落实情况、责任单位及完成时限；2.积极推进要点工作任务落实，按季度调度工作进展。</w:t>
            </w:r>
          </w:p>
        </w:tc>
        <w:tc>
          <w:tcPr>
            <w:tcW w:w="1985" w:type="dxa"/>
            <w:vMerge w:val="restart"/>
            <w:vAlign w:val="center"/>
          </w:tcPr>
          <w:p>
            <w:pPr>
              <w:jc w:val="center"/>
              <w:rPr>
                <w:kern w:val="0"/>
                <w:sz w:val="24"/>
                <w:szCs w:val="20"/>
              </w:rPr>
            </w:pPr>
            <w:r>
              <w:rPr>
                <w:rFonts w:hint="eastAsia"/>
                <w:kern w:val="0"/>
                <w:sz w:val="24"/>
                <w:szCs w:val="20"/>
              </w:rPr>
              <w:t>旗政务服务局牵头，指导、推动、监督各部门开展工作</w:t>
            </w:r>
          </w:p>
        </w:tc>
        <w:tc>
          <w:tcPr>
            <w:tcW w:w="1276" w:type="dxa"/>
            <w:vMerge w:val="restart"/>
            <w:vAlign w:val="center"/>
          </w:tcPr>
          <w:p>
            <w:pPr>
              <w:jc w:val="center"/>
              <w:rPr>
                <w:b/>
                <w:bCs/>
                <w:kern w:val="0"/>
                <w:sz w:val="24"/>
                <w:szCs w:val="20"/>
              </w:rPr>
            </w:pPr>
            <w:r>
              <w:rPr>
                <w:rFonts w:hint="eastAsia"/>
                <w:kern w:val="0"/>
                <w:sz w:val="24"/>
                <w:szCs w:val="20"/>
              </w:rPr>
              <w:t>2022年12月底前</w:t>
            </w:r>
          </w:p>
        </w:tc>
        <w:tc>
          <w:tcPr>
            <w:tcW w:w="1134" w:type="dxa"/>
            <w:vAlign w:val="center"/>
          </w:tcPr>
          <w:p>
            <w:pPr>
              <w:jc w:val="center"/>
              <w:rPr>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trPr>
        <w:tc>
          <w:tcPr>
            <w:tcW w:w="1106" w:type="dxa"/>
            <w:vMerge w:val="continue"/>
            <w:vAlign w:val="center"/>
          </w:tcPr>
          <w:p>
            <w:pPr>
              <w:jc w:val="center"/>
              <w:rPr>
                <w:kern w:val="0"/>
                <w:sz w:val="24"/>
                <w:szCs w:val="20"/>
              </w:rPr>
            </w:pPr>
          </w:p>
        </w:tc>
        <w:tc>
          <w:tcPr>
            <w:tcW w:w="1241" w:type="dxa"/>
            <w:vMerge w:val="continue"/>
            <w:vAlign w:val="center"/>
          </w:tcPr>
          <w:p>
            <w:pPr>
              <w:jc w:val="center"/>
              <w:rPr>
                <w:kern w:val="0"/>
                <w:sz w:val="24"/>
                <w:szCs w:val="20"/>
              </w:rPr>
            </w:pPr>
          </w:p>
        </w:tc>
        <w:tc>
          <w:tcPr>
            <w:tcW w:w="4565" w:type="dxa"/>
            <w:vAlign w:val="center"/>
          </w:tcPr>
          <w:p>
            <w:pPr>
              <w:rPr>
                <w:kern w:val="0"/>
                <w:sz w:val="24"/>
                <w:szCs w:val="20"/>
              </w:rPr>
            </w:pPr>
            <w:r>
              <w:rPr>
                <w:rFonts w:hint="eastAsia"/>
                <w:kern w:val="0"/>
                <w:sz w:val="24"/>
                <w:szCs w:val="20"/>
              </w:rPr>
              <w:t>要适时对我旗上一年度政务公开工作要点落实情况开展“回头看”，逐项核查核销，对未完成的依法督促整改。</w:t>
            </w:r>
          </w:p>
          <w:p>
            <w:pPr>
              <w:rPr>
                <w:kern w:val="0"/>
                <w:sz w:val="24"/>
                <w:szCs w:val="20"/>
              </w:rPr>
            </w:pPr>
          </w:p>
        </w:tc>
        <w:tc>
          <w:tcPr>
            <w:tcW w:w="2835" w:type="dxa"/>
            <w:vMerge w:val="continue"/>
            <w:vAlign w:val="center"/>
          </w:tcPr>
          <w:p>
            <w:pPr>
              <w:rPr>
                <w:kern w:val="0"/>
                <w:sz w:val="24"/>
                <w:szCs w:val="20"/>
              </w:rPr>
            </w:pPr>
          </w:p>
        </w:tc>
        <w:tc>
          <w:tcPr>
            <w:tcW w:w="1985" w:type="dxa"/>
            <w:vMerge w:val="continue"/>
            <w:vAlign w:val="center"/>
          </w:tcPr>
          <w:p>
            <w:pPr>
              <w:jc w:val="center"/>
              <w:rPr>
                <w:kern w:val="0"/>
                <w:sz w:val="24"/>
                <w:szCs w:val="20"/>
              </w:rPr>
            </w:pPr>
          </w:p>
        </w:tc>
        <w:tc>
          <w:tcPr>
            <w:tcW w:w="1276" w:type="dxa"/>
            <w:vMerge w:val="continue"/>
            <w:vAlign w:val="center"/>
          </w:tcPr>
          <w:p>
            <w:pPr>
              <w:jc w:val="center"/>
              <w:rPr>
                <w:kern w:val="0"/>
                <w:sz w:val="24"/>
                <w:szCs w:val="20"/>
              </w:rPr>
            </w:pPr>
          </w:p>
        </w:tc>
        <w:tc>
          <w:tcPr>
            <w:tcW w:w="1134" w:type="dxa"/>
            <w:vAlign w:val="center"/>
          </w:tcPr>
          <w:p>
            <w:pPr>
              <w:jc w:val="center"/>
              <w:rPr>
                <w:kern w:val="0"/>
                <w:sz w:val="24"/>
                <w:szCs w:val="20"/>
              </w:rPr>
            </w:pPr>
          </w:p>
        </w:tc>
      </w:tr>
    </w:tbl>
    <w:p>
      <w:pPr>
        <w:spacing w:line="560" w:lineRule="exact"/>
        <w:jc w:val="left"/>
        <w:rPr>
          <w:rFonts w:ascii="仿宋_GB2312" w:eastAsia="仿宋_GB2312"/>
          <w:sz w:val="32"/>
          <w:szCs w:val="32"/>
        </w:rPr>
      </w:pPr>
    </w:p>
    <w:p/>
    <w:sectPr>
      <w:headerReference r:id="rId3" w:type="default"/>
      <w:footerReference r:id="rId4" w:type="default"/>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0762"/>
    <w:multiLevelType w:val="singleLevel"/>
    <w:tmpl w:val="FFFF076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zk2NGIzYmY1NTUxMzkyODJmNDYwYzUzN2JkOTQifQ=="/>
  </w:docVars>
  <w:rsids>
    <w:rsidRoot w:val="003203A6"/>
    <w:rsid w:val="00313E74"/>
    <w:rsid w:val="003203A6"/>
    <w:rsid w:val="003B1EA2"/>
    <w:rsid w:val="00520D79"/>
    <w:rsid w:val="00665E19"/>
    <w:rsid w:val="00734CE6"/>
    <w:rsid w:val="00BD142A"/>
    <w:rsid w:val="00EA63F4"/>
    <w:rsid w:val="00ED1A4B"/>
    <w:rsid w:val="00EF3211"/>
    <w:rsid w:val="00F72538"/>
    <w:rsid w:val="25051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1146</Words>
  <Characters>6536</Characters>
  <Lines>54</Lines>
  <Paragraphs>15</Paragraphs>
  <TotalTime>0</TotalTime>
  <ScaleCrop>false</ScaleCrop>
  <LinksUpToDate>false</LinksUpToDate>
  <CharactersWithSpaces>7667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2022-07-18T09:57:00Z</dcterms:created>
  <dc:creator>达拉特旗人民政府(拟稿)</dc:creator>
  <cp:lastModifiedBy>Lenovo</cp:lastModifiedBy>
  <dcterms:modified xsi:type="dcterms:W3CDTF">2024-01-19T01:42:00Z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54881F12C1FC45E796BFE9CA2BAC4C66_12</vt:lpwstr>
  </property>
</Properties>
</file>