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560" w:lineRule="exact"/>
        <w:rPr>
          <w:rFonts w:hint="eastAsia" w:ascii="仿宋_GB2312" w:hAnsi="ˎ̥" w:eastAsia="仿宋_GB2312" w:cs="Arial"/>
          <w:b/>
          <w:bCs/>
          <w:color w:val="000000"/>
          <w:kern w:val="0"/>
          <w:sz w:val="32"/>
          <w:szCs w:val="32"/>
        </w:rPr>
      </w:pPr>
    </w:p>
    <w:p>
      <w:pPr>
        <w:widowControl/>
        <w:adjustRightInd w:val="0"/>
        <w:snapToGrid w:val="0"/>
        <w:spacing w:line="560" w:lineRule="exact"/>
        <w:jc w:val="center"/>
        <w:rPr>
          <w:rFonts w:hint="eastAsia" w:ascii="方正小标宋简体" w:hAnsi="ˎ̥" w:eastAsia="方正小标宋简体" w:cs="Arial"/>
          <w:bCs/>
          <w:color w:val="000000"/>
          <w:kern w:val="0"/>
          <w:sz w:val="44"/>
          <w:szCs w:val="44"/>
        </w:rPr>
      </w:pPr>
      <w:r>
        <w:rPr>
          <w:rFonts w:hint="eastAsia" w:ascii="方正小标宋简体" w:hAnsi="ˎ̥" w:eastAsia="方正小标宋简体" w:cs="Arial"/>
          <w:bCs/>
          <w:color w:val="000000"/>
          <w:kern w:val="0"/>
          <w:sz w:val="44"/>
          <w:szCs w:val="44"/>
        </w:rPr>
        <w:t>内蒙古自治区食品流通风险分级</w:t>
      </w:r>
    </w:p>
    <w:p>
      <w:pPr>
        <w:widowControl/>
        <w:adjustRightInd w:val="0"/>
        <w:snapToGrid w:val="0"/>
        <w:spacing w:line="560" w:lineRule="exact"/>
        <w:jc w:val="center"/>
        <w:rPr>
          <w:rFonts w:hint="eastAsia" w:ascii="方正小标宋简体" w:hAnsi="ˎ̥" w:eastAsia="方正小标宋简体" w:cs="Arial"/>
          <w:color w:val="000000"/>
          <w:kern w:val="0"/>
          <w:sz w:val="44"/>
          <w:szCs w:val="44"/>
        </w:rPr>
      </w:pPr>
      <w:r>
        <w:rPr>
          <w:rFonts w:hint="eastAsia" w:ascii="方正小标宋简体" w:hAnsi="ˎ̥" w:eastAsia="方正小标宋简体" w:cs="Arial"/>
          <w:bCs/>
          <w:color w:val="000000"/>
          <w:kern w:val="0"/>
          <w:sz w:val="44"/>
          <w:szCs w:val="44"/>
        </w:rPr>
        <w:t>管理工作规范</w:t>
      </w:r>
    </w:p>
    <w:p>
      <w:pPr>
        <w:widowControl/>
        <w:adjustRightInd w:val="0"/>
        <w:snapToGrid w:val="0"/>
        <w:spacing w:line="560" w:lineRule="exact"/>
        <w:ind w:firstLine="640" w:firstLineChars="200"/>
        <w:jc w:val="left"/>
        <w:rPr>
          <w:rFonts w:hint="eastAsia" w:ascii="仿宋_GB2312" w:hAnsi="ˎ̥" w:eastAsia="仿宋_GB2312"/>
          <w:sz w:val="32"/>
          <w:szCs w:val="32"/>
        </w:rPr>
      </w:pPr>
    </w:p>
    <w:p>
      <w:pPr>
        <w:widowControl/>
        <w:adjustRightInd w:val="0"/>
        <w:snapToGrid w:val="0"/>
        <w:spacing w:line="560" w:lineRule="exact"/>
        <w:ind w:firstLine="640" w:firstLineChars="200"/>
        <w:jc w:val="left"/>
        <w:rPr>
          <w:rFonts w:hint="eastAsia" w:ascii="仿宋_GB2312" w:hAnsi="ˎ̥" w:eastAsia="仿宋_GB2312"/>
          <w:sz w:val="32"/>
          <w:szCs w:val="32"/>
        </w:rPr>
      </w:pPr>
      <w:r>
        <w:rPr>
          <w:rFonts w:hint="eastAsia" w:ascii="仿宋_GB2312" w:hAnsi="ˎ̥" w:eastAsia="仿宋_GB2312" w:cs="Arial"/>
          <w:color w:val="000000"/>
          <w:kern w:val="0"/>
          <w:sz w:val="32"/>
          <w:szCs w:val="32"/>
        </w:rPr>
        <w:t>根据《中华人民共和国食品安全法》及其《实施条例》等法律法规，</w:t>
      </w:r>
      <w:r>
        <w:rPr>
          <w:rFonts w:hint="eastAsia" w:ascii="仿宋_GB2312" w:hAnsi="ˎ̥" w:eastAsia="仿宋_GB2312"/>
          <w:sz w:val="32"/>
          <w:szCs w:val="32"/>
        </w:rPr>
        <w:t>按照国家食品药品监督管理总局《关于印发食品生产经营风险分级管理办法（试行）的通知》（食药监食监一〔2016〕115号）要求，为组织开展好我区食品流通风险分级管理工作，不断推动食品流通日常监管</w:t>
      </w:r>
      <w:r>
        <w:fldChar w:fldCharType="begin"/>
      </w:r>
      <w:r>
        <w:instrText xml:space="preserve"> HYPERLINK "http://www.zhazhi.com/qikan/zrkx/swkx/" </w:instrText>
      </w:r>
      <w:r>
        <w:fldChar w:fldCharType="separate"/>
      </w:r>
      <w:r>
        <w:rPr>
          <w:rFonts w:hint="eastAsia" w:ascii="仿宋_GB2312" w:hAnsi="ˎ̥" w:eastAsia="仿宋_GB2312"/>
          <w:sz w:val="32"/>
          <w:szCs w:val="32"/>
        </w:rPr>
        <w:t>科学</w:t>
      </w:r>
      <w:r>
        <w:rPr>
          <w:rFonts w:hint="eastAsia" w:ascii="仿宋_GB2312" w:hAnsi="ˎ̥" w:eastAsia="仿宋_GB2312"/>
          <w:sz w:val="32"/>
          <w:szCs w:val="32"/>
        </w:rPr>
        <w:fldChar w:fldCharType="end"/>
      </w:r>
      <w:r>
        <w:rPr>
          <w:rFonts w:hint="eastAsia" w:ascii="仿宋_GB2312" w:hAnsi="ˎ̥" w:eastAsia="仿宋_GB2312"/>
          <w:sz w:val="32"/>
          <w:szCs w:val="32"/>
        </w:rPr>
        <w:t>化、规范化、效能化，特制定《内蒙古自治区食品流通风险分级管理工作规范》。</w:t>
      </w:r>
    </w:p>
    <w:p>
      <w:pPr>
        <w:widowControl/>
        <w:spacing w:line="600" w:lineRule="atLeast"/>
        <w:ind w:firstLine="643" w:firstLineChars="200"/>
        <w:jc w:val="left"/>
        <w:rPr>
          <w:rFonts w:hint="eastAsia" w:ascii="仿宋_GB2312" w:hAnsi="ˎ̥" w:eastAsia="仿宋_GB2312" w:cs="Arial"/>
          <w:b/>
          <w:bCs/>
          <w:color w:val="000000"/>
          <w:kern w:val="0"/>
          <w:sz w:val="32"/>
          <w:szCs w:val="32"/>
        </w:rPr>
      </w:pPr>
      <w:r>
        <w:rPr>
          <w:rFonts w:hint="eastAsia" w:ascii="仿宋_GB2312" w:hAnsi="ˎ̥" w:eastAsia="仿宋_GB2312" w:cs="Arial"/>
          <w:b/>
          <w:bCs/>
          <w:color w:val="000000"/>
          <w:kern w:val="0"/>
          <w:sz w:val="32"/>
          <w:szCs w:val="32"/>
        </w:rPr>
        <w:t xml:space="preserve">一、食品流通风险分级管理工作总则 </w:t>
      </w:r>
    </w:p>
    <w:p>
      <w:pPr>
        <w:widowControl/>
        <w:adjustRightInd w:val="0"/>
        <w:snapToGrid w:val="0"/>
        <w:spacing w:line="560" w:lineRule="exact"/>
        <w:ind w:firstLine="627" w:firstLineChars="196"/>
        <w:jc w:val="left"/>
        <w:rPr>
          <w:rFonts w:hint="eastAsia" w:ascii="仿宋_GB2312" w:hAnsi="ˎ̥" w:eastAsia="仿宋_GB2312"/>
          <w:sz w:val="32"/>
          <w:szCs w:val="32"/>
        </w:rPr>
      </w:pPr>
      <w:r>
        <w:rPr>
          <w:rFonts w:hint="eastAsia" w:ascii="仿宋_GB2312" w:hAnsi="ˎ̥" w:eastAsia="仿宋_GB2312"/>
          <w:sz w:val="32"/>
          <w:szCs w:val="32"/>
        </w:rPr>
        <w:t>(一)为进一步提高我区食品流通经营者法律意识、质量意识和自律意识，规范食品流通经营行为，营造规范有序、诚信自律的市场环境，合理配置监管资源，实施科学化监管，提高监管水平和效能，开展食品流通风险分级管理工作。</w:t>
      </w:r>
    </w:p>
    <w:p>
      <w:pPr>
        <w:widowControl/>
        <w:adjustRightInd w:val="0"/>
        <w:snapToGrid w:val="0"/>
        <w:spacing w:line="560" w:lineRule="exact"/>
        <w:ind w:firstLine="645"/>
        <w:jc w:val="left"/>
        <w:rPr>
          <w:rFonts w:hint="eastAsia" w:ascii="仿宋_GB2312" w:hAnsi="ˎ̥" w:eastAsia="仿宋_GB2312" w:cs="Arial"/>
          <w:color w:val="000000"/>
          <w:kern w:val="0"/>
          <w:sz w:val="32"/>
          <w:szCs w:val="32"/>
        </w:rPr>
      </w:pPr>
      <w:r>
        <w:rPr>
          <w:rFonts w:hint="eastAsia" w:ascii="仿宋_GB2312" w:hAnsi="ˎ̥" w:eastAsia="仿宋_GB2312"/>
          <w:sz w:val="32"/>
          <w:szCs w:val="32"/>
        </w:rPr>
        <w:t>（二）</w:t>
      </w:r>
      <w:r>
        <w:rPr>
          <w:rFonts w:hint="eastAsia" w:ascii="仿宋_GB2312" w:hAnsi="ˎ̥" w:eastAsia="仿宋_GB2312" w:cs="Arial"/>
          <w:color w:val="000000"/>
          <w:kern w:val="0"/>
          <w:sz w:val="32"/>
          <w:szCs w:val="32"/>
        </w:rPr>
        <w:t>凡在内蒙古自治区境内取得《食品流通经营许可证》的各类食品流通经营者，以及食品集中交易市场开办者、柜台出租者、展销会举办者、网络食品交易第三方平台提供者、食品流通环节贮存及运输等食品流通经营主体，均应实施食品流通风险分级管理。辖区食品药品监督管理部门应以风险分析为基础，结合食品流通经营者的食品类别、经营业态及规模、食品安全管理能力和监督管理记录情况，按照风险评价指标，划分其食品流通经营风险等级，并结合当地监管资源和监管能力，对食品流通经营主体实施不同程度的监督管理。</w:t>
      </w:r>
    </w:p>
    <w:p>
      <w:pPr>
        <w:widowControl/>
        <w:adjustRightInd w:val="0"/>
        <w:snapToGrid w:val="0"/>
        <w:spacing w:line="560" w:lineRule="exact"/>
        <w:jc w:val="left"/>
        <w:rPr>
          <w:rFonts w:hint="eastAsia" w:ascii="仿宋_GB2312" w:hAnsi="ˎ̥" w:eastAsia="仿宋_GB2312" w:cs="Arial"/>
          <w:color w:val="000000"/>
          <w:kern w:val="0"/>
          <w:sz w:val="32"/>
          <w:szCs w:val="32"/>
        </w:rPr>
      </w:pPr>
      <w:r>
        <w:rPr>
          <w:rFonts w:hint="eastAsia" w:ascii="仿宋_GB2312" w:hAnsi="ˎ̥" w:eastAsia="仿宋_GB2312" w:cs="Arial"/>
          <w:color w:val="000000"/>
          <w:kern w:val="0"/>
          <w:sz w:val="32"/>
          <w:szCs w:val="32"/>
        </w:rPr>
        <w:t>　　（三）自治区级食品药品监督管理部门负责制定我区食品流通风险分级管理工作规范，结合我区实际，组织实施并指导检查全区食品流通风险分级管理工作。各盟市、旗县级食品药品监督管理部门负责开展本地区食品流通风险分级管理的具体工作。</w:t>
      </w:r>
    </w:p>
    <w:p>
      <w:pPr>
        <w:widowControl/>
        <w:adjustRightInd w:val="0"/>
        <w:snapToGrid w:val="0"/>
        <w:spacing w:line="560" w:lineRule="exact"/>
        <w:jc w:val="left"/>
        <w:rPr>
          <w:rFonts w:hint="eastAsia" w:ascii="仿宋_GB2312" w:hAnsi="ˎ̥" w:eastAsia="仿宋_GB2312" w:cs="Arial"/>
          <w:color w:val="000000"/>
          <w:kern w:val="0"/>
          <w:sz w:val="32"/>
          <w:szCs w:val="32"/>
        </w:rPr>
      </w:pPr>
      <w:r>
        <w:rPr>
          <w:rFonts w:hint="eastAsia" w:ascii="仿宋_GB2312" w:hAnsi="ˎ̥" w:eastAsia="仿宋_GB2312" w:cs="Arial"/>
          <w:color w:val="000000"/>
          <w:kern w:val="0"/>
          <w:sz w:val="32"/>
          <w:szCs w:val="32"/>
        </w:rPr>
        <w:t>　　（四）食品流通风险分级管理工作应当遵循客观公正、风险分析、量化评价、动态管理的原则，食品流通经营者应当配合食品药品监督管理部门开展风险分级管理工作，不得拒绝、逃避或者阻碍。</w:t>
      </w:r>
    </w:p>
    <w:p>
      <w:pPr>
        <w:widowControl/>
        <w:adjustRightInd w:val="0"/>
        <w:snapToGrid w:val="0"/>
        <w:spacing w:line="560" w:lineRule="exact"/>
        <w:ind w:firstLine="630" w:firstLineChars="196"/>
        <w:jc w:val="left"/>
        <w:rPr>
          <w:rFonts w:hint="eastAsia" w:ascii="仿宋_GB2312" w:hAnsi="ˎ̥" w:eastAsia="仿宋_GB2312" w:cs="Arial"/>
          <w:color w:val="000000"/>
          <w:kern w:val="0"/>
          <w:sz w:val="32"/>
          <w:szCs w:val="32"/>
        </w:rPr>
      </w:pPr>
      <w:r>
        <w:rPr>
          <w:rFonts w:hint="eastAsia" w:ascii="仿宋_GB2312" w:hAnsi="ˎ̥" w:eastAsia="仿宋_GB2312" w:cs="Arial"/>
          <w:b/>
          <w:bCs/>
          <w:color w:val="000000"/>
          <w:kern w:val="0"/>
          <w:sz w:val="32"/>
          <w:szCs w:val="32"/>
        </w:rPr>
        <w:t>二、食品流通风险等级划分原则</w:t>
      </w:r>
    </w:p>
    <w:p>
      <w:pPr>
        <w:widowControl/>
        <w:adjustRightInd w:val="0"/>
        <w:snapToGrid w:val="0"/>
        <w:spacing w:line="560" w:lineRule="exact"/>
        <w:ind w:firstLine="640" w:firstLineChars="200"/>
        <w:jc w:val="left"/>
        <w:rPr>
          <w:rFonts w:hint="eastAsia" w:ascii="仿宋_GB2312" w:hAnsi="ˎ̥" w:eastAsia="仿宋_GB2312" w:cs="Arial"/>
          <w:color w:val="000000"/>
          <w:kern w:val="0"/>
          <w:sz w:val="32"/>
          <w:szCs w:val="32"/>
        </w:rPr>
      </w:pPr>
      <w:r>
        <w:rPr>
          <w:rFonts w:hint="eastAsia" w:ascii="仿宋_GB2312" w:hAnsi="ˎ̥" w:eastAsia="仿宋_GB2312" w:cs="Arial"/>
          <w:color w:val="000000"/>
          <w:kern w:val="0"/>
          <w:sz w:val="32"/>
          <w:szCs w:val="32"/>
        </w:rPr>
        <w:t>（一）对食品流通风险等级划分，应当根据销售食品类别、经营规模、消费对象等静态风险因素和经营条件保持、过程控制、管理制度建立及运行等动态风险因素，结合食品流通经营者监督检查、监督抽检、投诉举报、案件查处、产品召回等监督管理记录，确定食品流通经营者风险等级，并实施动态调整。</w:t>
      </w:r>
    </w:p>
    <w:p>
      <w:pPr>
        <w:widowControl/>
        <w:adjustRightInd w:val="0"/>
        <w:snapToGrid w:val="0"/>
        <w:spacing w:line="560" w:lineRule="exact"/>
        <w:ind w:firstLine="640" w:firstLineChars="200"/>
        <w:jc w:val="left"/>
        <w:rPr>
          <w:rFonts w:hint="eastAsia" w:ascii="仿宋_GB2312" w:hAnsi="ˎ̥" w:eastAsia="仿宋_GB2312" w:cs="Arial"/>
          <w:color w:val="000000"/>
          <w:kern w:val="0"/>
          <w:sz w:val="32"/>
          <w:szCs w:val="32"/>
        </w:rPr>
      </w:pPr>
      <w:r>
        <w:rPr>
          <w:rFonts w:hint="eastAsia" w:ascii="仿宋_GB2312" w:hAnsi="ˎ̥" w:eastAsia="仿宋_GB2312" w:cs="Arial"/>
          <w:color w:val="000000"/>
          <w:kern w:val="0"/>
          <w:sz w:val="32"/>
          <w:szCs w:val="32"/>
        </w:rPr>
        <w:t>（二）食品流通风险等级评价采用评分方法进行，以百分制计算，其中静态风险因素量化分值为50分，动态风险因素量化分值为50分。分值越高，风险等级越高。</w:t>
      </w:r>
    </w:p>
    <w:p>
      <w:pPr>
        <w:widowControl/>
        <w:adjustRightInd w:val="0"/>
        <w:snapToGrid w:val="0"/>
        <w:spacing w:line="560" w:lineRule="exact"/>
        <w:ind w:firstLine="640" w:firstLineChars="200"/>
        <w:jc w:val="left"/>
        <w:rPr>
          <w:rFonts w:hint="eastAsia" w:ascii="仿宋_GB2312" w:hAnsi="ˎ̥" w:eastAsia="仿宋_GB2312" w:cs="Arial"/>
          <w:color w:val="000000"/>
          <w:kern w:val="0"/>
          <w:sz w:val="32"/>
          <w:szCs w:val="32"/>
        </w:rPr>
      </w:pPr>
      <w:r>
        <w:rPr>
          <w:rFonts w:hint="eastAsia" w:ascii="仿宋_GB2312" w:hAnsi="ˎ̥" w:eastAsia="仿宋_GB2312" w:cs="Arial"/>
          <w:color w:val="000000"/>
          <w:kern w:val="0"/>
          <w:sz w:val="32"/>
          <w:szCs w:val="32"/>
        </w:rPr>
        <w:t>食品流通经营者风险等级从低到高分为A级风险、B级风险、C级风险、D级风险四个等级。</w:t>
      </w:r>
    </w:p>
    <w:p>
      <w:pPr>
        <w:widowControl/>
        <w:adjustRightInd w:val="0"/>
        <w:snapToGrid w:val="0"/>
        <w:spacing w:line="560" w:lineRule="exact"/>
        <w:jc w:val="left"/>
        <w:rPr>
          <w:rFonts w:hint="eastAsia" w:ascii="仿宋_GB2312" w:hAnsi="ˎ̥" w:eastAsia="仿宋_GB2312" w:cs="Arial"/>
          <w:color w:val="000000"/>
          <w:kern w:val="0"/>
          <w:sz w:val="32"/>
          <w:szCs w:val="32"/>
        </w:rPr>
      </w:pPr>
      <w:r>
        <w:rPr>
          <w:rFonts w:hint="eastAsia" w:ascii="仿宋_GB2312" w:hAnsi="ˎ̥" w:eastAsia="仿宋_GB2312" w:cs="Arial"/>
          <w:color w:val="000000"/>
          <w:kern w:val="0"/>
          <w:sz w:val="32"/>
          <w:szCs w:val="32"/>
        </w:rPr>
        <w:t>　　</w:t>
      </w:r>
      <w:r>
        <w:rPr>
          <w:rFonts w:hint="eastAsia" w:ascii="仿宋_GB2312" w:hAnsi="ˎ̥" w:eastAsia="仿宋_GB2312" w:cs="Arial"/>
          <w:b/>
          <w:bCs/>
          <w:color w:val="000000"/>
          <w:kern w:val="0"/>
          <w:sz w:val="32"/>
          <w:szCs w:val="32"/>
        </w:rPr>
        <w:t>三、食品流通静态风险分级评分及管理规范</w:t>
      </w:r>
    </w:p>
    <w:p>
      <w:pPr>
        <w:widowControl/>
        <w:adjustRightInd w:val="0"/>
        <w:snapToGrid w:val="0"/>
        <w:spacing w:line="560" w:lineRule="exact"/>
        <w:ind w:firstLine="645"/>
        <w:jc w:val="left"/>
        <w:rPr>
          <w:rFonts w:hint="eastAsia" w:ascii="仿宋_GB2312" w:hAnsi="ˎ̥" w:eastAsia="仿宋_GB2312" w:cs="Arial"/>
          <w:color w:val="000000"/>
          <w:kern w:val="0"/>
          <w:sz w:val="32"/>
          <w:szCs w:val="32"/>
        </w:rPr>
      </w:pPr>
      <w:r>
        <w:rPr>
          <w:rFonts w:hint="eastAsia" w:ascii="仿宋_GB2312" w:hAnsi="ˎ̥" w:eastAsia="仿宋_GB2312" w:cs="Arial"/>
          <w:color w:val="000000"/>
          <w:kern w:val="0"/>
          <w:sz w:val="32"/>
          <w:szCs w:val="32"/>
        </w:rPr>
        <w:t>（一）食品流通经营者申领《食品流通经营许可证》后，或市场开办者、柜台出租者和展销会举办者、网络食品交易第三方平台提供者、流通环节食品贮存和运输经营者、食用农产品批发市场开办者、经营性冷库所有者、使用者申请备案后，由辖区食品药品监督管理部门根据销售食品类别、经营规模、消费群体、经营过程等因素特点，填写《食品流通经营静态风险因素量化分值表》（以下简称为《静态风险表》，见附件1），确定食品流通经营者静态风险分级。</w:t>
      </w:r>
    </w:p>
    <w:p>
      <w:pPr>
        <w:widowControl/>
        <w:adjustRightInd w:val="0"/>
        <w:snapToGrid w:val="0"/>
        <w:spacing w:line="560" w:lineRule="exact"/>
        <w:ind w:firstLine="645"/>
        <w:jc w:val="left"/>
        <w:rPr>
          <w:rFonts w:hint="eastAsia" w:ascii="仿宋_GB2312" w:hAnsi="ˎ̥" w:eastAsia="仿宋_GB2312" w:cs="Arial"/>
          <w:color w:val="000000"/>
          <w:kern w:val="0"/>
          <w:sz w:val="32"/>
          <w:szCs w:val="32"/>
        </w:rPr>
      </w:pPr>
      <w:r>
        <w:rPr>
          <w:rFonts w:hint="eastAsia" w:ascii="仿宋_GB2312" w:hAnsi="ˎ̥" w:eastAsia="仿宋_GB2312" w:cs="Arial"/>
          <w:color w:val="000000"/>
          <w:kern w:val="0"/>
          <w:sz w:val="32"/>
          <w:szCs w:val="32"/>
        </w:rPr>
        <w:t>（二）食品流通静态风险因素量化总分值50分，按照得分情况划分为</w:t>
      </w:r>
      <w:r>
        <w:rPr>
          <w:rFonts w:hint="eastAsia" w:ascii="仿宋_GB2312" w:hAnsi="宋体" w:eastAsia="仿宋_GB2312" w:cs="宋体"/>
          <w:color w:val="000000"/>
          <w:kern w:val="0"/>
          <w:sz w:val="32"/>
          <w:szCs w:val="32"/>
        </w:rPr>
        <w:t>Ⅰ</w:t>
      </w:r>
      <w:r>
        <w:rPr>
          <w:rFonts w:hint="eastAsia" w:ascii="仿宋_GB2312" w:hAnsi="ˎ̥" w:eastAsia="仿宋_GB2312" w:cs="Arial"/>
          <w:color w:val="000000"/>
          <w:kern w:val="0"/>
          <w:sz w:val="32"/>
          <w:szCs w:val="32"/>
        </w:rPr>
        <w:t>档、</w:t>
      </w:r>
      <w:r>
        <w:rPr>
          <w:rFonts w:hint="eastAsia" w:ascii="仿宋_GB2312" w:hAnsi="宋体" w:eastAsia="仿宋_GB2312" w:cs="宋体"/>
          <w:color w:val="000000"/>
          <w:kern w:val="0"/>
          <w:sz w:val="32"/>
          <w:szCs w:val="32"/>
        </w:rPr>
        <w:t>Ⅱ</w:t>
      </w:r>
      <w:r>
        <w:rPr>
          <w:rFonts w:hint="eastAsia" w:ascii="仿宋_GB2312" w:hAnsi="ˎ̥" w:eastAsia="仿宋_GB2312" w:cs="Arial"/>
          <w:color w:val="000000"/>
          <w:kern w:val="0"/>
          <w:sz w:val="32"/>
          <w:szCs w:val="32"/>
        </w:rPr>
        <w:t>档、</w:t>
      </w:r>
      <w:r>
        <w:rPr>
          <w:rFonts w:hint="eastAsia" w:ascii="仿宋_GB2312" w:hAnsi="宋体" w:eastAsia="仿宋_GB2312" w:cs="宋体"/>
          <w:color w:val="000000"/>
          <w:kern w:val="0"/>
          <w:sz w:val="32"/>
          <w:szCs w:val="32"/>
        </w:rPr>
        <w:t>Ⅲ</w:t>
      </w:r>
      <w:r>
        <w:rPr>
          <w:rFonts w:hint="eastAsia" w:ascii="仿宋_GB2312" w:hAnsi="ˎ̥" w:eastAsia="仿宋_GB2312" w:cs="Arial"/>
          <w:color w:val="000000"/>
          <w:kern w:val="0"/>
          <w:sz w:val="32"/>
          <w:szCs w:val="32"/>
        </w:rPr>
        <w:t>档和</w:t>
      </w:r>
      <w:r>
        <w:rPr>
          <w:rFonts w:hint="eastAsia" w:ascii="仿宋_GB2312" w:hAnsi="宋体" w:eastAsia="仿宋_GB2312" w:cs="宋体"/>
          <w:color w:val="000000"/>
          <w:kern w:val="0"/>
          <w:sz w:val="32"/>
          <w:szCs w:val="32"/>
        </w:rPr>
        <w:t>Ⅳ</w:t>
      </w:r>
      <w:r>
        <w:rPr>
          <w:rFonts w:hint="eastAsia" w:ascii="仿宋_GB2312" w:hAnsi="ˎ̥" w:eastAsia="仿宋_GB2312" w:cs="Arial"/>
          <w:color w:val="000000"/>
          <w:kern w:val="0"/>
          <w:sz w:val="32"/>
          <w:szCs w:val="32"/>
        </w:rPr>
        <w:t>档，15分以下静态风险等级为</w:t>
      </w:r>
      <w:r>
        <w:rPr>
          <w:rFonts w:hint="eastAsia" w:ascii="仿宋_GB2312" w:hAnsi="宋体" w:eastAsia="仿宋_GB2312" w:cs="宋体"/>
          <w:color w:val="000000"/>
          <w:kern w:val="0"/>
          <w:sz w:val="32"/>
          <w:szCs w:val="32"/>
        </w:rPr>
        <w:t>Ⅰ</w:t>
      </w:r>
      <w:r>
        <w:rPr>
          <w:rFonts w:hint="eastAsia" w:ascii="仿宋_GB2312" w:hAnsi="ˎ̥" w:eastAsia="仿宋_GB2312" w:cs="Arial"/>
          <w:color w:val="000000"/>
          <w:kern w:val="0"/>
          <w:sz w:val="32"/>
          <w:szCs w:val="32"/>
        </w:rPr>
        <w:t>档；16—30分静态风险等级为</w:t>
      </w:r>
      <w:r>
        <w:rPr>
          <w:rFonts w:hint="eastAsia" w:ascii="仿宋_GB2312" w:hAnsi="宋体" w:eastAsia="仿宋_GB2312" w:cs="宋体"/>
          <w:color w:val="000000"/>
          <w:kern w:val="0"/>
          <w:sz w:val="32"/>
          <w:szCs w:val="32"/>
        </w:rPr>
        <w:t>Ⅱ</w:t>
      </w:r>
      <w:r>
        <w:rPr>
          <w:rFonts w:hint="eastAsia" w:ascii="仿宋_GB2312" w:hAnsi="ˎ̥" w:eastAsia="仿宋_GB2312" w:cs="Arial"/>
          <w:color w:val="000000"/>
          <w:kern w:val="0"/>
          <w:sz w:val="32"/>
          <w:szCs w:val="32"/>
        </w:rPr>
        <w:t>档；31—40分静态风险等级为</w:t>
      </w:r>
      <w:r>
        <w:rPr>
          <w:rFonts w:hint="eastAsia" w:ascii="仿宋_GB2312" w:hAnsi="宋体" w:eastAsia="仿宋_GB2312" w:cs="宋体"/>
          <w:color w:val="000000"/>
          <w:kern w:val="0"/>
          <w:sz w:val="32"/>
          <w:szCs w:val="32"/>
        </w:rPr>
        <w:t>Ⅲ</w:t>
      </w:r>
      <w:r>
        <w:rPr>
          <w:rFonts w:hint="eastAsia" w:ascii="仿宋_GB2312" w:hAnsi="ˎ̥" w:eastAsia="仿宋_GB2312" w:cs="Arial"/>
          <w:color w:val="000000"/>
          <w:kern w:val="0"/>
          <w:sz w:val="32"/>
          <w:szCs w:val="32"/>
        </w:rPr>
        <w:t>档；41—50分静态风险等级为</w:t>
      </w:r>
      <w:r>
        <w:rPr>
          <w:rFonts w:hint="eastAsia" w:ascii="仿宋_GB2312" w:hAnsi="宋体" w:eastAsia="仿宋_GB2312" w:cs="宋体"/>
          <w:color w:val="000000"/>
          <w:kern w:val="0"/>
          <w:sz w:val="32"/>
          <w:szCs w:val="32"/>
        </w:rPr>
        <w:t>Ⅳ</w:t>
      </w:r>
      <w:r>
        <w:rPr>
          <w:rFonts w:hint="eastAsia" w:ascii="仿宋_GB2312" w:hAnsi="ˎ̥" w:eastAsia="仿宋_GB2312" w:cs="Arial"/>
          <w:color w:val="000000"/>
          <w:kern w:val="0"/>
          <w:sz w:val="32"/>
          <w:szCs w:val="32"/>
        </w:rPr>
        <w:t>档。</w:t>
      </w:r>
    </w:p>
    <w:p>
      <w:pPr>
        <w:widowControl/>
        <w:adjustRightInd w:val="0"/>
        <w:snapToGrid w:val="0"/>
        <w:spacing w:line="560" w:lineRule="exact"/>
        <w:ind w:firstLine="645"/>
        <w:jc w:val="left"/>
        <w:rPr>
          <w:rFonts w:hint="eastAsia" w:ascii="仿宋_GB2312" w:hAnsi="ˎ̥" w:eastAsia="仿宋_GB2312" w:cs="Arial"/>
          <w:color w:val="000000"/>
          <w:kern w:val="0"/>
          <w:sz w:val="32"/>
          <w:szCs w:val="32"/>
        </w:rPr>
      </w:pPr>
      <w:r>
        <w:rPr>
          <w:rFonts w:hint="eastAsia" w:ascii="仿宋_GB2312" w:hAnsi="ˎ̥" w:eastAsia="仿宋_GB2312" w:cs="Arial"/>
          <w:color w:val="000000"/>
          <w:kern w:val="0"/>
          <w:sz w:val="32"/>
          <w:szCs w:val="32"/>
        </w:rPr>
        <w:t>销售多类别食品的，应当选择风险较高的食品类别确定该食品流通经营者的静态风险等级。</w:t>
      </w:r>
    </w:p>
    <w:p>
      <w:pPr>
        <w:widowControl/>
        <w:adjustRightInd w:val="0"/>
        <w:snapToGrid w:val="0"/>
        <w:spacing w:line="560" w:lineRule="exact"/>
        <w:ind w:firstLine="645"/>
        <w:jc w:val="left"/>
        <w:rPr>
          <w:rFonts w:hint="eastAsia" w:ascii="仿宋_GB2312" w:hAnsi="ˎ̥" w:eastAsia="仿宋_GB2312" w:cs="Arial"/>
          <w:color w:val="000000"/>
          <w:kern w:val="0"/>
          <w:sz w:val="32"/>
          <w:szCs w:val="32"/>
        </w:rPr>
      </w:pPr>
      <w:r>
        <w:rPr>
          <w:rFonts w:hint="eastAsia" w:ascii="仿宋_GB2312" w:hAnsi="ˎ̥" w:eastAsia="仿宋_GB2312" w:cs="Arial"/>
          <w:color w:val="000000"/>
          <w:kern w:val="0"/>
          <w:sz w:val="32"/>
          <w:szCs w:val="32"/>
        </w:rPr>
        <w:t>（三）食品药品监督管理部门应当根据食品流通经营者静态风险等级划分结果，考虑监管资源的科学配置和有效利用，确定日常监督检查频次及重点。</w:t>
      </w:r>
      <w:r>
        <w:rPr>
          <w:rFonts w:hint="eastAsia" w:ascii="仿宋_GB2312" w:hAnsi="ˎ̥" w:eastAsia="仿宋_GB2312" w:cs="Arial"/>
          <w:color w:val="000000"/>
          <w:kern w:val="0"/>
          <w:sz w:val="32"/>
          <w:szCs w:val="32"/>
        </w:rPr>
        <w:br w:type="textWrapping"/>
      </w:r>
      <w:r>
        <w:rPr>
          <w:rFonts w:hint="eastAsia" w:ascii="仿宋_GB2312" w:hAnsi="ˎ̥" w:eastAsia="仿宋_GB2312" w:cs="Arial"/>
          <w:color w:val="000000"/>
          <w:kern w:val="0"/>
          <w:sz w:val="32"/>
          <w:szCs w:val="32"/>
        </w:rPr>
        <w:t>　　1.对静态风险等级为</w:t>
      </w:r>
      <w:r>
        <w:rPr>
          <w:rFonts w:hint="eastAsia" w:ascii="仿宋_GB2312" w:hAnsi="宋体" w:eastAsia="仿宋_GB2312" w:cs="宋体"/>
          <w:color w:val="000000"/>
          <w:kern w:val="0"/>
          <w:sz w:val="32"/>
          <w:szCs w:val="32"/>
        </w:rPr>
        <w:t>Ⅰ</w:t>
      </w:r>
      <w:r>
        <w:rPr>
          <w:rFonts w:hint="eastAsia" w:ascii="仿宋_GB2312" w:hAnsi="ˎ̥" w:eastAsia="仿宋_GB2312" w:cs="Arial"/>
          <w:color w:val="000000"/>
          <w:kern w:val="0"/>
          <w:sz w:val="32"/>
          <w:szCs w:val="32"/>
        </w:rPr>
        <w:t>档的食品流通经营者，原则上每年至少监督检查1次；</w:t>
      </w:r>
      <w:r>
        <w:rPr>
          <w:rFonts w:hint="eastAsia" w:ascii="仿宋_GB2312" w:hAnsi="ˎ̥" w:eastAsia="仿宋_GB2312" w:cs="Arial"/>
          <w:color w:val="000000"/>
          <w:kern w:val="0"/>
          <w:sz w:val="32"/>
          <w:szCs w:val="32"/>
        </w:rPr>
        <w:br w:type="textWrapping"/>
      </w:r>
      <w:r>
        <w:rPr>
          <w:rFonts w:hint="eastAsia" w:ascii="仿宋_GB2312" w:hAnsi="ˎ̥" w:eastAsia="仿宋_GB2312" w:cs="Arial"/>
          <w:color w:val="000000"/>
          <w:kern w:val="0"/>
          <w:sz w:val="32"/>
          <w:szCs w:val="32"/>
        </w:rPr>
        <w:t>　　2.对静态风险等级为</w:t>
      </w:r>
      <w:r>
        <w:rPr>
          <w:rFonts w:hint="eastAsia" w:ascii="仿宋_GB2312" w:hAnsi="宋体" w:eastAsia="仿宋_GB2312" w:cs="宋体"/>
          <w:color w:val="000000"/>
          <w:kern w:val="0"/>
          <w:sz w:val="32"/>
          <w:szCs w:val="32"/>
        </w:rPr>
        <w:t>Ⅱ</w:t>
      </w:r>
      <w:r>
        <w:rPr>
          <w:rFonts w:hint="eastAsia" w:ascii="仿宋_GB2312" w:hAnsi="ˎ̥" w:eastAsia="仿宋_GB2312" w:cs="Arial"/>
          <w:color w:val="000000"/>
          <w:kern w:val="0"/>
          <w:sz w:val="32"/>
          <w:szCs w:val="32"/>
        </w:rPr>
        <w:t>档的食品流通经营者，原则上每年至少监督检查1—2次；</w:t>
      </w:r>
      <w:r>
        <w:rPr>
          <w:rFonts w:hint="eastAsia" w:ascii="仿宋_GB2312" w:hAnsi="ˎ̥" w:eastAsia="仿宋_GB2312" w:cs="Arial"/>
          <w:color w:val="000000"/>
          <w:kern w:val="0"/>
          <w:sz w:val="32"/>
          <w:szCs w:val="32"/>
        </w:rPr>
        <w:br w:type="textWrapping"/>
      </w:r>
      <w:r>
        <w:rPr>
          <w:rFonts w:hint="eastAsia" w:ascii="仿宋_GB2312" w:hAnsi="ˎ̥" w:eastAsia="仿宋_GB2312" w:cs="Arial"/>
          <w:color w:val="000000"/>
          <w:kern w:val="0"/>
          <w:sz w:val="32"/>
          <w:szCs w:val="32"/>
        </w:rPr>
        <w:t>　　3.对静态风险等级为</w:t>
      </w:r>
      <w:r>
        <w:rPr>
          <w:rFonts w:hint="eastAsia" w:ascii="仿宋_GB2312" w:hAnsi="宋体" w:eastAsia="仿宋_GB2312" w:cs="宋体"/>
          <w:color w:val="000000"/>
          <w:kern w:val="0"/>
          <w:sz w:val="32"/>
          <w:szCs w:val="32"/>
        </w:rPr>
        <w:t>Ⅲ</w:t>
      </w:r>
      <w:r>
        <w:rPr>
          <w:rFonts w:hint="eastAsia" w:ascii="仿宋_GB2312" w:hAnsi="ˎ̥" w:eastAsia="仿宋_GB2312" w:cs="Arial"/>
          <w:color w:val="000000"/>
          <w:kern w:val="0"/>
          <w:sz w:val="32"/>
          <w:szCs w:val="32"/>
        </w:rPr>
        <w:t>档的食品流通经营者，原则上每年至少监督检查2—3次；</w:t>
      </w:r>
      <w:r>
        <w:rPr>
          <w:rFonts w:hint="eastAsia" w:ascii="仿宋_GB2312" w:hAnsi="ˎ̥" w:eastAsia="仿宋_GB2312" w:cs="Arial"/>
          <w:color w:val="000000"/>
          <w:kern w:val="0"/>
          <w:sz w:val="32"/>
          <w:szCs w:val="32"/>
        </w:rPr>
        <w:br w:type="textWrapping"/>
      </w:r>
      <w:r>
        <w:rPr>
          <w:rFonts w:hint="eastAsia" w:ascii="仿宋_GB2312" w:hAnsi="ˎ̥" w:eastAsia="仿宋_GB2312" w:cs="Arial"/>
          <w:color w:val="000000"/>
          <w:kern w:val="0"/>
          <w:sz w:val="32"/>
          <w:szCs w:val="32"/>
        </w:rPr>
        <w:t>　　4.对静态风险等级为</w:t>
      </w:r>
      <w:r>
        <w:rPr>
          <w:rFonts w:hint="eastAsia" w:ascii="仿宋_GB2312" w:hAnsi="宋体" w:eastAsia="仿宋_GB2312" w:cs="宋体"/>
          <w:color w:val="000000"/>
          <w:kern w:val="0"/>
          <w:sz w:val="32"/>
          <w:szCs w:val="32"/>
        </w:rPr>
        <w:t>Ⅳ</w:t>
      </w:r>
      <w:r>
        <w:rPr>
          <w:rFonts w:hint="eastAsia" w:ascii="仿宋_GB2312" w:hAnsi="ˎ̥" w:eastAsia="仿宋_GB2312" w:cs="Arial"/>
          <w:color w:val="000000"/>
          <w:kern w:val="0"/>
          <w:sz w:val="32"/>
          <w:szCs w:val="32"/>
        </w:rPr>
        <w:t>档的食品流通经营者，原则上每年至少监督检查3—4次。</w:t>
      </w:r>
      <w:r>
        <w:rPr>
          <w:rFonts w:hint="eastAsia" w:ascii="仿宋_GB2312" w:hAnsi="ˎ̥" w:eastAsia="仿宋_GB2312" w:cs="Arial"/>
          <w:color w:val="000000"/>
          <w:kern w:val="0"/>
          <w:sz w:val="32"/>
          <w:szCs w:val="32"/>
        </w:rPr>
        <w:br w:type="textWrapping"/>
      </w:r>
      <w:r>
        <w:rPr>
          <w:rFonts w:hint="eastAsia" w:ascii="仿宋_GB2312" w:hAnsi="ˎ̥" w:eastAsia="仿宋_GB2312" w:cs="Arial"/>
          <w:color w:val="000000"/>
          <w:kern w:val="0"/>
          <w:sz w:val="32"/>
          <w:szCs w:val="32"/>
        </w:rPr>
        <w:t>　　具体检查频次和监管重点由各盟市级食品药品监督管理部门确定。</w:t>
      </w:r>
    </w:p>
    <w:p>
      <w:pPr>
        <w:widowControl/>
        <w:adjustRightInd w:val="0"/>
        <w:snapToGrid w:val="0"/>
        <w:spacing w:line="560" w:lineRule="exact"/>
        <w:jc w:val="left"/>
        <w:rPr>
          <w:rFonts w:hint="eastAsia" w:ascii="仿宋_GB2312" w:hAnsi="ˎ̥" w:eastAsia="仿宋_GB2312" w:cs="Arial"/>
          <w:b/>
          <w:bCs/>
          <w:color w:val="000000"/>
          <w:kern w:val="0"/>
          <w:sz w:val="32"/>
          <w:szCs w:val="32"/>
          <w:bdr w:val="single" w:color="auto" w:sz="4" w:space="0"/>
        </w:rPr>
      </w:pPr>
      <w:r>
        <w:rPr>
          <w:rFonts w:hint="eastAsia" w:ascii="仿宋_GB2312" w:hAnsi="ˎ̥" w:eastAsia="仿宋_GB2312" w:cs="Arial"/>
          <w:color w:val="000000"/>
          <w:kern w:val="0"/>
          <w:sz w:val="32"/>
          <w:szCs w:val="32"/>
        </w:rPr>
        <w:t>　　</w:t>
      </w:r>
      <w:r>
        <w:rPr>
          <w:rFonts w:hint="eastAsia" w:ascii="仿宋_GB2312" w:hAnsi="ˎ̥" w:eastAsia="仿宋_GB2312" w:cs="Arial"/>
          <w:b/>
          <w:bCs/>
          <w:color w:val="000000"/>
          <w:kern w:val="0"/>
          <w:sz w:val="32"/>
          <w:szCs w:val="32"/>
        </w:rPr>
        <w:t>四、食品流通动态风险分级评分及管理规范</w:t>
      </w:r>
    </w:p>
    <w:p>
      <w:pPr>
        <w:widowControl/>
        <w:adjustRightInd w:val="0"/>
        <w:snapToGrid w:val="0"/>
        <w:spacing w:line="560" w:lineRule="exact"/>
        <w:ind w:firstLine="640" w:firstLineChars="200"/>
        <w:jc w:val="left"/>
        <w:rPr>
          <w:rFonts w:hint="eastAsia" w:ascii="仿宋_GB2312" w:hAnsi="ˎ̥" w:eastAsia="仿宋_GB2312" w:cs="Arial"/>
          <w:color w:val="000000"/>
          <w:kern w:val="0"/>
          <w:sz w:val="32"/>
          <w:szCs w:val="32"/>
        </w:rPr>
      </w:pPr>
      <w:r>
        <w:rPr>
          <w:rFonts w:hint="eastAsia" w:ascii="仿宋_GB2312" w:hAnsi="ˎ̥" w:eastAsia="仿宋_GB2312" w:cs="Arial"/>
          <w:color w:val="000000"/>
          <w:kern w:val="0"/>
          <w:sz w:val="32"/>
          <w:szCs w:val="32"/>
        </w:rPr>
        <w:t>(一)辖区食品药品监督管理部门应该在食品流通经营日常监督或年度检查时，考虑经营资质、经营过程控制、食品贮存等情况，填写《食品流通经营动态风险因素量化分值表》（以下简称为动态风险评价表，见附件2），对食品流通经营者动态风险因素进行量化打分。</w:t>
      </w:r>
    </w:p>
    <w:p>
      <w:pPr>
        <w:widowControl/>
        <w:adjustRightInd w:val="0"/>
        <w:snapToGrid w:val="0"/>
        <w:spacing w:line="560" w:lineRule="exact"/>
        <w:ind w:firstLine="645"/>
        <w:jc w:val="left"/>
        <w:rPr>
          <w:rFonts w:hint="eastAsia" w:ascii="仿宋_GB2312" w:hAnsi="ˎ̥" w:eastAsia="仿宋_GB2312" w:cs="Arial"/>
          <w:color w:val="000000"/>
          <w:kern w:val="0"/>
          <w:sz w:val="32"/>
          <w:szCs w:val="32"/>
        </w:rPr>
      </w:pPr>
      <w:r>
        <w:rPr>
          <w:rFonts w:hint="eastAsia" w:ascii="仿宋_GB2312" w:hAnsi="ˎ̥" w:eastAsia="仿宋_GB2312" w:cs="Arial"/>
          <w:color w:val="000000"/>
          <w:kern w:val="0"/>
          <w:sz w:val="32"/>
          <w:szCs w:val="32"/>
        </w:rPr>
        <w:t>（二）根据动态风险因素量化打分情况和食品流通经营者对应档次，给食品流通经营者加贴颜色标志，并作出相应处理。</w:t>
      </w:r>
    </w:p>
    <w:p>
      <w:pPr>
        <w:widowControl/>
        <w:adjustRightInd w:val="0"/>
        <w:snapToGrid w:val="0"/>
        <w:spacing w:line="560" w:lineRule="exact"/>
        <w:ind w:firstLine="645"/>
        <w:jc w:val="left"/>
        <w:rPr>
          <w:rFonts w:hint="eastAsia" w:ascii="仿宋_GB2312" w:hAnsi="ˎ̥" w:eastAsia="仿宋_GB2312" w:cs="Arial"/>
          <w:color w:val="000000"/>
          <w:kern w:val="0"/>
          <w:sz w:val="32"/>
          <w:szCs w:val="32"/>
        </w:rPr>
      </w:pPr>
      <w:r>
        <w:rPr>
          <w:rFonts w:hint="eastAsia" w:ascii="仿宋_GB2312" w:hAnsi="ˎ̥" w:eastAsia="仿宋_GB2312" w:cs="Arial"/>
          <w:color w:val="000000"/>
          <w:kern w:val="0"/>
          <w:sz w:val="32"/>
          <w:szCs w:val="32"/>
        </w:rPr>
        <w:t>1.静态风险等级为</w:t>
      </w:r>
      <w:r>
        <w:rPr>
          <w:rFonts w:hint="eastAsia" w:ascii="仿宋_GB2312" w:hAnsi="宋体" w:eastAsia="仿宋_GB2312" w:cs="宋体"/>
          <w:color w:val="000000"/>
          <w:kern w:val="0"/>
          <w:sz w:val="32"/>
          <w:szCs w:val="32"/>
        </w:rPr>
        <w:t>Ⅰ</w:t>
      </w:r>
      <w:r>
        <w:rPr>
          <w:rFonts w:hint="eastAsia" w:ascii="仿宋_GB2312" w:hAnsi="ˎ̥" w:eastAsia="仿宋_GB2312" w:cs="Arial"/>
          <w:color w:val="000000"/>
          <w:kern w:val="0"/>
          <w:sz w:val="32"/>
          <w:szCs w:val="32"/>
        </w:rPr>
        <w:t>档的食品流通经营者：单次动态风险因素量化得分8分以上，评定为红标单位，加贴红色标志；单次动态风险因素量化得分2—8分，评定为黄标单位，加贴黄色标志；单次动态风险因素量化得分2分以下，评定为绿标单位，加贴绿色标志。</w:t>
      </w:r>
    </w:p>
    <w:p>
      <w:pPr>
        <w:widowControl/>
        <w:adjustRightInd w:val="0"/>
        <w:snapToGrid w:val="0"/>
        <w:spacing w:line="560" w:lineRule="exact"/>
        <w:ind w:firstLine="645"/>
        <w:jc w:val="left"/>
        <w:rPr>
          <w:rFonts w:hint="eastAsia" w:ascii="仿宋_GB2312" w:hAnsi="ˎ̥" w:eastAsia="仿宋_GB2312" w:cs="Arial"/>
          <w:color w:val="000000"/>
          <w:kern w:val="0"/>
          <w:sz w:val="32"/>
          <w:szCs w:val="32"/>
        </w:rPr>
      </w:pPr>
      <w:r>
        <w:rPr>
          <w:rFonts w:hint="eastAsia" w:ascii="仿宋_GB2312" w:hAnsi="ˎ̥" w:eastAsia="仿宋_GB2312" w:cs="Arial"/>
          <w:color w:val="000000"/>
          <w:kern w:val="0"/>
          <w:sz w:val="32"/>
          <w:szCs w:val="32"/>
        </w:rPr>
        <w:t>2.静态风险等级为Ⅱ档的食品流通经营者：单次动态风险因素量化得分10分以上，评定为红标单位，加贴红色标志；单次动态风险因素量化得分3—10分，评定为黄标单位，加贴黄色标志；单次动态风险因素量化得分3分以下，评定为绿标单位，加贴绿色标志。</w:t>
      </w:r>
    </w:p>
    <w:p>
      <w:pPr>
        <w:widowControl/>
        <w:adjustRightInd w:val="0"/>
        <w:snapToGrid w:val="0"/>
        <w:spacing w:line="560" w:lineRule="exact"/>
        <w:ind w:firstLine="645"/>
        <w:jc w:val="left"/>
        <w:rPr>
          <w:rFonts w:hint="eastAsia" w:ascii="仿宋_GB2312" w:hAnsi="ˎ̥" w:eastAsia="仿宋_GB2312" w:cs="Arial"/>
          <w:color w:val="000000"/>
          <w:kern w:val="0"/>
          <w:sz w:val="32"/>
          <w:szCs w:val="32"/>
        </w:rPr>
      </w:pPr>
      <w:r>
        <w:rPr>
          <w:rFonts w:hint="eastAsia" w:ascii="仿宋_GB2312" w:hAnsi="ˎ̥" w:eastAsia="仿宋_GB2312" w:cs="Arial"/>
          <w:color w:val="000000"/>
          <w:kern w:val="0"/>
          <w:sz w:val="32"/>
          <w:szCs w:val="32"/>
        </w:rPr>
        <w:t>3.静态风险等级为Ⅲ档的食品流通经营者：单次动态风险因素量化得分14分以上，评定为红标单位，加贴红色标志；单次动态风险因素量化得分4—14分，评定为黄标单位，加贴黄色标志；单次动态风险因素量化得分4分以下，评定为绿标单位，加贴绿色标志。</w:t>
      </w:r>
    </w:p>
    <w:p>
      <w:pPr>
        <w:widowControl/>
        <w:adjustRightInd w:val="0"/>
        <w:snapToGrid w:val="0"/>
        <w:spacing w:line="560" w:lineRule="exact"/>
        <w:ind w:firstLine="645"/>
        <w:jc w:val="left"/>
        <w:rPr>
          <w:rFonts w:hint="eastAsia" w:ascii="仿宋_GB2312" w:hAnsi="ˎ̥" w:eastAsia="仿宋_GB2312" w:cs="Arial"/>
          <w:color w:val="000000"/>
          <w:kern w:val="0"/>
          <w:sz w:val="32"/>
          <w:szCs w:val="32"/>
        </w:rPr>
      </w:pPr>
      <w:r>
        <w:rPr>
          <w:rFonts w:hint="eastAsia" w:ascii="仿宋_GB2312" w:hAnsi="ˎ̥" w:eastAsia="仿宋_GB2312" w:cs="Arial"/>
          <w:color w:val="000000"/>
          <w:kern w:val="0"/>
          <w:sz w:val="32"/>
          <w:szCs w:val="32"/>
        </w:rPr>
        <w:t>4.静态风险等级为Ⅳ档的食品流通经营者：单次动态风险因素量化得分20分以上，评定为红标单位，加贴红色标志；单次动态风险因素量化得分5—20分，评定为黄标单位，加贴黄色标志；单次动态风险因素量化得分5分以下，评定为绿标单位，加贴绿色标志。</w:t>
      </w:r>
    </w:p>
    <w:p>
      <w:pPr>
        <w:widowControl/>
        <w:adjustRightInd w:val="0"/>
        <w:snapToGrid w:val="0"/>
        <w:spacing w:line="560" w:lineRule="exact"/>
        <w:ind w:firstLine="645"/>
        <w:jc w:val="left"/>
        <w:rPr>
          <w:rFonts w:hint="eastAsia" w:ascii="仿宋_GB2312" w:hAnsi="ˎ̥" w:eastAsia="仿宋_GB2312" w:cs="Arial"/>
          <w:color w:val="000000"/>
          <w:kern w:val="0"/>
          <w:sz w:val="32"/>
          <w:szCs w:val="32"/>
        </w:rPr>
      </w:pPr>
      <w:r>
        <w:rPr>
          <w:rFonts w:hint="eastAsia" w:ascii="仿宋_GB2312" w:hAnsi="ˎ̥" w:eastAsia="仿宋_GB2312" w:cs="Arial"/>
          <w:color w:val="000000"/>
          <w:kern w:val="0"/>
          <w:sz w:val="32"/>
          <w:szCs w:val="32"/>
        </w:rPr>
        <w:t>5.被确定为绿标单位的食品流通经营者可正常营业；被确定为红标单位的食品流通经营者，</w:t>
      </w:r>
      <w:r>
        <w:rPr>
          <w:rFonts w:hint="eastAsia" w:ascii="仿宋_GB2312" w:hAnsi="ˎ̥" w:eastAsia="仿宋_GB2312" w:cs="Arial"/>
          <w:color w:val="000000"/>
          <w:kern w:val="0"/>
          <w:sz w:val="32"/>
          <w:szCs w:val="32"/>
          <w:lang w:val="en-US" w:eastAsia="zh-CN"/>
        </w:rPr>
        <w:t>作</w:t>
      </w:r>
      <w:r>
        <w:rPr>
          <w:rFonts w:hint="eastAsia" w:ascii="仿宋_GB2312" w:hAnsi="ˎ̥" w:eastAsia="仿宋_GB2312" w:cs="Arial"/>
          <w:color w:val="000000"/>
          <w:kern w:val="0"/>
          <w:sz w:val="32"/>
          <w:szCs w:val="32"/>
        </w:rPr>
        <w:t>为案件线索移交稽查部门按照《食品安全法》相关规定进行处置；被确定为黄标单位的食品流通经营者，需进行整改，辖区食品药品监督管理部门应在15日后对黄标单位进行复查，复查合格后，撤除黄色标志，加贴绿色标志，经营者恢复正常营业，复查不合格，应换贴红色标志，</w:t>
      </w:r>
      <w:r>
        <w:rPr>
          <w:rFonts w:hint="eastAsia" w:ascii="仿宋_GB2312" w:hAnsi="ˎ̥" w:eastAsia="仿宋_GB2312" w:cs="Arial"/>
          <w:color w:val="000000"/>
          <w:kern w:val="0"/>
          <w:sz w:val="32"/>
          <w:szCs w:val="32"/>
          <w:lang w:val="en-US" w:eastAsia="zh-CN"/>
        </w:rPr>
        <w:t>作</w:t>
      </w:r>
      <w:r>
        <w:rPr>
          <w:rFonts w:hint="eastAsia" w:ascii="仿宋_GB2312" w:hAnsi="ˎ̥" w:eastAsia="仿宋_GB2312" w:cs="Arial"/>
          <w:color w:val="000000"/>
          <w:kern w:val="0"/>
          <w:sz w:val="32"/>
          <w:szCs w:val="32"/>
        </w:rPr>
        <w:t>为案件线索移交稽查部门按照《食品安全法》相关规定进行处置。</w:t>
      </w:r>
      <w:bookmarkStart w:id="0" w:name="_GoBack"/>
      <w:bookmarkEnd w:id="0"/>
    </w:p>
    <w:p>
      <w:pPr>
        <w:widowControl/>
        <w:adjustRightInd w:val="0"/>
        <w:snapToGrid w:val="0"/>
        <w:spacing w:line="560" w:lineRule="exact"/>
        <w:ind w:firstLine="645"/>
        <w:jc w:val="left"/>
        <w:rPr>
          <w:rFonts w:hint="eastAsia" w:ascii="仿宋_GB2312" w:hAnsi="ˎ̥" w:eastAsia="仿宋_GB2312" w:cs="Arial"/>
          <w:color w:val="000000"/>
          <w:kern w:val="0"/>
          <w:sz w:val="32"/>
          <w:szCs w:val="32"/>
        </w:rPr>
      </w:pPr>
      <w:r>
        <w:rPr>
          <w:rFonts w:hint="eastAsia" w:ascii="仿宋_GB2312" w:hAnsi="ˎ̥" w:eastAsia="仿宋_GB2312" w:cs="Arial"/>
          <w:color w:val="000000"/>
          <w:kern w:val="0"/>
          <w:sz w:val="32"/>
          <w:szCs w:val="32"/>
        </w:rPr>
        <w:t>(三)将食品流通经营者静态风险因素量化分值，加上食品流通经营者动态风险因素量化分值之和，确定食品流通经营者风险等级。</w:t>
      </w:r>
      <w:r>
        <w:rPr>
          <w:rFonts w:hint="eastAsia" w:ascii="仿宋_GB2312" w:hAnsi="ˎ̥" w:eastAsia="仿宋_GB2312" w:cs="Arial"/>
          <w:color w:val="000000"/>
          <w:kern w:val="0"/>
          <w:sz w:val="32"/>
          <w:szCs w:val="32"/>
        </w:rPr>
        <w:br w:type="textWrapping"/>
      </w:r>
      <w:r>
        <w:rPr>
          <w:rFonts w:hint="eastAsia" w:ascii="仿宋_GB2312" w:hAnsi="ˎ̥" w:eastAsia="仿宋_GB2312" w:cs="Arial"/>
          <w:color w:val="000000"/>
          <w:kern w:val="0"/>
          <w:sz w:val="32"/>
          <w:szCs w:val="32"/>
        </w:rPr>
        <w:t>　　风险分值之和为0—30（含）分的，为A级风险；风险分值之和为30—45（含）分的，为B级风险；风险分值之和为45—60（含）分的，为C级风险；风险分值之和为60分以上的，为D级风险。</w:t>
      </w:r>
    </w:p>
    <w:p>
      <w:pPr>
        <w:widowControl/>
        <w:adjustRightInd w:val="0"/>
        <w:snapToGrid w:val="0"/>
        <w:spacing w:line="560" w:lineRule="exact"/>
        <w:jc w:val="left"/>
        <w:rPr>
          <w:rFonts w:hint="eastAsia" w:ascii="仿宋_GB2312" w:hAnsi="ˎ̥" w:eastAsia="仿宋_GB2312" w:cs="Arial"/>
          <w:color w:val="000000"/>
          <w:kern w:val="0"/>
          <w:sz w:val="32"/>
          <w:szCs w:val="32"/>
        </w:rPr>
      </w:pPr>
      <w:r>
        <w:rPr>
          <w:rFonts w:hint="eastAsia" w:ascii="仿宋_GB2312" w:hAnsi="ˎ̥" w:eastAsia="仿宋_GB2312" w:cs="Arial"/>
          <w:color w:val="000000"/>
          <w:kern w:val="0"/>
          <w:sz w:val="32"/>
          <w:szCs w:val="32"/>
        </w:rPr>
        <w:t>　　（四）辖区食品药品监督管理部门可以根据食品流通经营者日常监督管理记录及年度检查记录，调整食品流通经营者风险等级。</w:t>
      </w:r>
    </w:p>
    <w:p>
      <w:pPr>
        <w:widowControl/>
        <w:adjustRightInd w:val="0"/>
        <w:snapToGrid w:val="0"/>
        <w:spacing w:line="560" w:lineRule="exact"/>
        <w:ind w:firstLine="630" w:firstLineChars="196"/>
        <w:jc w:val="left"/>
        <w:rPr>
          <w:rFonts w:hint="eastAsia" w:ascii="仿宋_GB2312" w:hAnsi="ˎ̥" w:eastAsia="仿宋_GB2312" w:cs="Arial"/>
          <w:color w:val="000000"/>
          <w:kern w:val="0"/>
          <w:sz w:val="32"/>
          <w:szCs w:val="32"/>
        </w:rPr>
      </w:pPr>
      <w:r>
        <w:rPr>
          <w:rFonts w:hint="eastAsia" w:ascii="仿宋_GB2312" w:hAnsi="ˎ̥" w:eastAsia="仿宋_GB2312" w:cs="Arial"/>
          <w:b/>
          <w:bCs/>
          <w:color w:val="000000"/>
          <w:kern w:val="0"/>
          <w:sz w:val="32"/>
          <w:szCs w:val="32"/>
        </w:rPr>
        <w:t>五、食品流通风险等级评价程序及要求</w:t>
      </w:r>
    </w:p>
    <w:p>
      <w:pPr>
        <w:widowControl/>
        <w:adjustRightInd w:val="0"/>
        <w:snapToGrid w:val="0"/>
        <w:spacing w:line="560" w:lineRule="exact"/>
        <w:jc w:val="left"/>
        <w:rPr>
          <w:rFonts w:hint="eastAsia" w:ascii="仿宋_GB2312" w:hAnsi="ˎ̥" w:eastAsia="仿宋_GB2312" w:cs="Arial"/>
          <w:color w:val="000000"/>
          <w:kern w:val="0"/>
          <w:sz w:val="32"/>
          <w:szCs w:val="32"/>
        </w:rPr>
      </w:pPr>
      <w:r>
        <w:rPr>
          <w:rFonts w:hint="eastAsia" w:ascii="仿宋_GB2312" w:hAnsi="ˎ̥" w:eastAsia="仿宋_GB2312" w:cs="Arial"/>
          <w:color w:val="000000"/>
          <w:kern w:val="0"/>
          <w:sz w:val="32"/>
          <w:szCs w:val="32"/>
        </w:rPr>
        <w:t>　　（一）食品药品监督管理部门评定食品流通经营者静态风险因素量化分值时应当调取食品流通经营者的许可档案或备案材料，根据静态风险因素量化分值表所列的项目，逐项计分，累加确定食品流通经营者静态风险因素量化分值。</w:t>
      </w:r>
      <w:r>
        <w:rPr>
          <w:rFonts w:hint="eastAsia" w:ascii="仿宋_GB2312" w:hAnsi="ˎ̥" w:eastAsia="仿宋_GB2312" w:cs="Arial"/>
          <w:color w:val="000000"/>
          <w:kern w:val="0"/>
          <w:sz w:val="32"/>
          <w:szCs w:val="32"/>
        </w:rPr>
        <w:br w:type="textWrapping"/>
      </w:r>
      <w:r>
        <w:rPr>
          <w:rFonts w:hint="eastAsia" w:ascii="仿宋_GB2312" w:hAnsi="ˎ̥" w:eastAsia="仿宋_GB2312" w:cs="Arial"/>
          <w:color w:val="000000"/>
          <w:kern w:val="0"/>
          <w:sz w:val="32"/>
          <w:szCs w:val="32"/>
        </w:rPr>
        <w:t>　　食品流通经营许可档案或备案材料内容不全的，食品药品监督管理部门可以要求食品流通经营者补充提交相关的材料。</w:t>
      </w:r>
    </w:p>
    <w:p>
      <w:pPr>
        <w:widowControl/>
        <w:adjustRightInd w:val="0"/>
        <w:snapToGrid w:val="0"/>
        <w:spacing w:line="560" w:lineRule="exact"/>
        <w:jc w:val="left"/>
        <w:rPr>
          <w:rFonts w:hint="eastAsia" w:ascii="仿宋_GB2312" w:hAnsi="ˎ̥" w:eastAsia="仿宋_GB2312" w:cs="Arial"/>
          <w:color w:val="000000"/>
          <w:kern w:val="0"/>
          <w:sz w:val="32"/>
          <w:szCs w:val="32"/>
        </w:rPr>
      </w:pPr>
      <w:r>
        <w:rPr>
          <w:rFonts w:hint="eastAsia" w:ascii="仿宋_GB2312" w:hAnsi="ˎ̥" w:eastAsia="仿宋_GB2312" w:cs="Arial"/>
          <w:color w:val="000000"/>
          <w:kern w:val="0"/>
          <w:sz w:val="32"/>
          <w:szCs w:val="32"/>
        </w:rPr>
        <w:t>　　（二）对食品流通动态风险因素量化分值的评定，可以结合对食品流通经营者日常监督检查结果确定，或者组织人员进入食品流通经营单位现场按照动态风险评价表进行打分评价确定。</w:t>
      </w:r>
      <w:r>
        <w:rPr>
          <w:rFonts w:hint="eastAsia" w:ascii="仿宋_GB2312" w:hAnsi="ˎ̥" w:eastAsia="仿宋_GB2312" w:cs="Arial"/>
          <w:color w:val="000000"/>
          <w:kern w:val="0"/>
          <w:sz w:val="32"/>
          <w:szCs w:val="32"/>
        </w:rPr>
        <w:br w:type="textWrapping"/>
      </w:r>
      <w:r>
        <w:rPr>
          <w:rFonts w:hint="eastAsia" w:ascii="仿宋_GB2312" w:hAnsi="ˎ̥" w:eastAsia="仿宋_GB2312" w:cs="Arial"/>
          <w:color w:val="000000"/>
          <w:kern w:val="0"/>
          <w:sz w:val="32"/>
          <w:szCs w:val="32"/>
        </w:rPr>
        <w:t>　　食品药品监督管理部门利用日常监督检查结果对食品流通经营者实施动态风险分值评定，应当结合上一年度日常监督检查全项目检查结果，并根据食品流通动态风险评价表逐项计分，累加确定。</w:t>
      </w:r>
      <w:r>
        <w:rPr>
          <w:rFonts w:hint="eastAsia" w:ascii="仿宋_GB2312" w:hAnsi="ˎ̥" w:eastAsia="仿宋_GB2312" w:cs="Arial"/>
          <w:color w:val="000000"/>
          <w:kern w:val="0"/>
          <w:sz w:val="32"/>
          <w:szCs w:val="32"/>
        </w:rPr>
        <w:br w:type="textWrapping"/>
      </w:r>
      <w:r>
        <w:rPr>
          <w:rFonts w:hint="eastAsia" w:ascii="仿宋_GB2312" w:hAnsi="ˎ̥" w:eastAsia="仿宋_GB2312" w:cs="Arial"/>
          <w:color w:val="000000"/>
          <w:kern w:val="0"/>
          <w:sz w:val="32"/>
          <w:szCs w:val="32"/>
        </w:rPr>
        <w:t>　　食品药品监督管理部门对食品流通经营者实施动态风险因素现场打分评价，按照《食品生产经营日常监督检查管理办法》确定，必要时，可以聘请专业技术人员参与现场打分评价工作。</w:t>
      </w:r>
    </w:p>
    <w:p>
      <w:pPr>
        <w:widowControl/>
        <w:adjustRightInd w:val="0"/>
        <w:snapToGrid w:val="0"/>
        <w:spacing w:line="560" w:lineRule="exact"/>
        <w:jc w:val="left"/>
        <w:rPr>
          <w:rFonts w:hint="eastAsia" w:ascii="仿宋_GB2312" w:hAnsi="ˎ̥" w:eastAsia="仿宋_GB2312" w:cs="Arial"/>
          <w:color w:val="000000"/>
          <w:kern w:val="0"/>
          <w:sz w:val="32"/>
          <w:szCs w:val="32"/>
        </w:rPr>
      </w:pPr>
      <w:r>
        <w:rPr>
          <w:rFonts w:hint="eastAsia" w:ascii="仿宋_GB2312" w:hAnsi="ˎ̥" w:eastAsia="仿宋_GB2312" w:cs="Arial"/>
          <w:color w:val="000000"/>
          <w:kern w:val="0"/>
          <w:sz w:val="32"/>
          <w:szCs w:val="32"/>
        </w:rPr>
        <w:t>　  （三）现场打分评价人员应当按照本办法和食品流通动态风险评价表的内容要求，如实作出评价，并将食品流通经营者存在的主要风险及防范要求告知其负责人。</w:t>
      </w:r>
    </w:p>
    <w:p>
      <w:pPr>
        <w:widowControl/>
        <w:adjustRightInd w:val="0"/>
        <w:snapToGrid w:val="0"/>
        <w:spacing w:line="560" w:lineRule="exact"/>
        <w:jc w:val="left"/>
        <w:rPr>
          <w:rFonts w:hint="eastAsia" w:ascii="仿宋_GB2312" w:hAnsi="ˎ̥" w:eastAsia="仿宋_GB2312" w:cs="Arial"/>
          <w:color w:val="000000"/>
          <w:kern w:val="0"/>
          <w:sz w:val="32"/>
          <w:szCs w:val="32"/>
        </w:rPr>
      </w:pPr>
      <w:r>
        <w:rPr>
          <w:rFonts w:hint="eastAsia" w:ascii="仿宋_GB2312" w:hAnsi="ˎ̥" w:eastAsia="仿宋_GB2312" w:cs="Arial"/>
          <w:color w:val="000000"/>
          <w:kern w:val="0"/>
          <w:sz w:val="32"/>
          <w:szCs w:val="32"/>
        </w:rPr>
        <w:t>　　（四）监管人员应当根据量化评价结果，填写《食品流通经营风险等级确定表》（以下简称为《风险等级确定表》，见附件3）。</w:t>
      </w:r>
    </w:p>
    <w:p>
      <w:pPr>
        <w:widowControl/>
        <w:adjustRightInd w:val="0"/>
        <w:snapToGrid w:val="0"/>
        <w:spacing w:line="560" w:lineRule="exact"/>
        <w:jc w:val="left"/>
        <w:rPr>
          <w:rFonts w:hint="eastAsia" w:ascii="仿宋_GB2312" w:hAnsi="ˎ̥" w:eastAsia="仿宋_GB2312" w:cs="Arial"/>
          <w:color w:val="000000"/>
          <w:kern w:val="0"/>
          <w:sz w:val="32"/>
          <w:szCs w:val="32"/>
        </w:rPr>
      </w:pPr>
      <w:r>
        <w:rPr>
          <w:rFonts w:hint="eastAsia" w:ascii="仿宋_GB2312" w:hAnsi="ˎ̥" w:eastAsia="仿宋_GB2312" w:cs="Arial"/>
          <w:color w:val="000000"/>
          <w:kern w:val="0"/>
          <w:sz w:val="32"/>
          <w:szCs w:val="32"/>
        </w:rPr>
        <w:t>　  （五）食品药品监督管理部门应当及时将食品流通经营者风险等级评定结果记入食品安全信用档案，并根据风险等级合理确定日常监督检查频次，实施动态调整。</w:t>
      </w:r>
      <w:r>
        <w:rPr>
          <w:rFonts w:hint="eastAsia" w:ascii="仿宋_GB2312" w:hAnsi="ˎ̥" w:eastAsia="仿宋_GB2312" w:cs="Arial"/>
          <w:color w:val="000000"/>
          <w:kern w:val="0"/>
          <w:sz w:val="32"/>
          <w:szCs w:val="32"/>
        </w:rPr>
        <w:br w:type="textWrapping"/>
      </w:r>
      <w:r>
        <w:rPr>
          <w:rFonts w:hint="eastAsia" w:ascii="仿宋_GB2312" w:hAnsi="ˎ̥" w:eastAsia="仿宋_GB2312" w:cs="Arial"/>
          <w:color w:val="000000"/>
          <w:kern w:val="0"/>
          <w:sz w:val="32"/>
          <w:szCs w:val="32"/>
        </w:rPr>
        <w:t>　　（六）食品药品监督管理部门根据当年食品流通经营者日常监督检查、监督抽检、违法行为查处、食品安全事故应对、不安全食品召回等食品安全监督管理记录情况，对行政区域内的食品流通经营者的下一年度风险等级进行动态调整。</w:t>
      </w:r>
    </w:p>
    <w:p>
      <w:pPr>
        <w:widowControl/>
        <w:adjustRightInd w:val="0"/>
        <w:snapToGrid w:val="0"/>
        <w:spacing w:line="560" w:lineRule="exact"/>
        <w:ind w:firstLine="645"/>
        <w:jc w:val="left"/>
        <w:rPr>
          <w:rFonts w:hint="eastAsia" w:ascii="仿宋_GB2312" w:hAnsi="ˎ̥" w:eastAsia="仿宋_GB2312" w:cs="Arial"/>
          <w:color w:val="000000"/>
          <w:kern w:val="0"/>
          <w:sz w:val="32"/>
          <w:szCs w:val="32"/>
        </w:rPr>
      </w:pPr>
      <w:r>
        <w:rPr>
          <w:rFonts w:hint="eastAsia" w:ascii="仿宋_GB2312" w:hAnsi="ˎ̥" w:eastAsia="仿宋_GB2312" w:cs="Arial"/>
          <w:color w:val="000000"/>
          <w:kern w:val="0"/>
          <w:sz w:val="32"/>
          <w:szCs w:val="32"/>
        </w:rPr>
        <w:t>（七）存在下列情形之一的，下一年度食品流通经营者风险等级可视情况调高一个或者两个等级：</w:t>
      </w:r>
      <w:r>
        <w:rPr>
          <w:rFonts w:hint="eastAsia" w:ascii="仿宋_GB2312" w:hAnsi="ˎ̥" w:eastAsia="仿宋_GB2312" w:cs="Arial"/>
          <w:color w:val="000000"/>
          <w:kern w:val="0"/>
          <w:sz w:val="32"/>
          <w:szCs w:val="32"/>
        </w:rPr>
        <w:br w:type="textWrapping"/>
      </w:r>
      <w:r>
        <w:rPr>
          <w:rFonts w:hint="eastAsia" w:ascii="仿宋_GB2312" w:hAnsi="ˎ̥" w:eastAsia="仿宋_GB2312" w:cs="Arial"/>
          <w:color w:val="000000"/>
          <w:kern w:val="0"/>
          <w:sz w:val="32"/>
          <w:szCs w:val="32"/>
        </w:rPr>
        <w:t>　　1.违反食品安全法律法规，且受到罚款、没收违法所得（非法财物）、责令停产停业等行政处罚的；</w:t>
      </w:r>
      <w:r>
        <w:rPr>
          <w:rFonts w:hint="eastAsia" w:ascii="仿宋_GB2312" w:hAnsi="ˎ̥" w:eastAsia="仿宋_GB2312" w:cs="Arial"/>
          <w:color w:val="000000"/>
          <w:kern w:val="0"/>
          <w:sz w:val="32"/>
          <w:szCs w:val="32"/>
        </w:rPr>
        <w:br w:type="textWrapping"/>
      </w:r>
      <w:r>
        <w:rPr>
          <w:rFonts w:hint="eastAsia" w:ascii="仿宋_GB2312" w:hAnsi="ˎ̥" w:eastAsia="仿宋_GB2312" w:cs="Arial"/>
          <w:color w:val="000000"/>
          <w:kern w:val="0"/>
          <w:sz w:val="32"/>
          <w:szCs w:val="32"/>
        </w:rPr>
        <w:t>　　2.有1次及以上国家或者省级、盟市级监督抽检不符合食品安全标准的；</w:t>
      </w:r>
      <w:r>
        <w:rPr>
          <w:rFonts w:hint="eastAsia" w:ascii="仿宋_GB2312" w:hAnsi="ˎ̥" w:eastAsia="仿宋_GB2312" w:cs="Arial"/>
          <w:color w:val="000000"/>
          <w:kern w:val="0"/>
          <w:sz w:val="32"/>
          <w:szCs w:val="32"/>
        </w:rPr>
        <w:br w:type="textWrapping"/>
      </w:r>
      <w:r>
        <w:rPr>
          <w:rFonts w:hint="eastAsia" w:ascii="仿宋_GB2312" w:hAnsi="ˎ̥" w:eastAsia="仿宋_GB2312" w:cs="Arial"/>
          <w:color w:val="000000"/>
          <w:kern w:val="0"/>
          <w:sz w:val="32"/>
          <w:szCs w:val="32"/>
        </w:rPr>
        <w:t>　　3.违反食品安全法律法规规定，造成不良社会影响的；</w:t>
      </w:r>
      <w:r>
        <w:rPr>
          <w:rFonts w:hint="eastAsia" w:ascii="仿宋_GB2312" w:hAnsi="ˎ̥" w:eastAsia="仿宋_GB2312" w:cs="Arial"/>
          <w:color w:val="000000"/>
          <w:kern w:val="0"/>
          <w:sz w:val="32"/>
          <w:szCs w:val="32"/>
        </w:rPr>
        <w:br w:type="textWrapping"/>
      </w:r>
      <w:r>
        <w:rPr>
          <w:rFonts w:hint="eastAsia" w:ascii="仿宋_GB2312" w:hAnsi="ˎ̥" w:eastAsia="仿宋_GB2312" w:cs="Arial"/>
          <w:color w:val="000000"/>
          <w:kern w:val="0"/>
          <w:sz w:val="32"/>
          <w:szCs w:val="32"/>
        </w:rPr>
        <w:t>　　4.发生食品安全事故的；</w:t>
      </w:r>
      <w:r>
        <w:rPr>
          <w:rFonts w:hint="eastAsia" w:ascii="仿宋_GB2312" w:hAnsi="ˎ̥" w:eastAsia="仿宋_GB2312" w:cs="Arial"/>
          <w:color w:val="000000"/>
          <w:kern w:val="0"/>
          <w:sz w:val="32"/>
          <w:szCs w:val="32"/>
        </w:rPr>
        <w:br w:type="textWrapping"/>
      </w:r>
      <w:r>
        <w:rPr>
          <w:rFonts w:hint="eastAsia" w:ascii="仿宋_GB2312" w:hAnsi="ˎ̥" w:eastAsia="仿宋_GB2312" w:cs="Arial"/>
          <w:color w:val="000000"/>
          <w:kern w:val="0"/>
          <w:sz w:val="32"/>
          <w:szCs w:val="32"/>
        </w:rPr>
        <w:t>　　5.不按规定进行产品召回或者停止经营的；</w:t>
      </w:r>
      <w:r>
        <w:rPr>
          <w:rFonts w:hint="eastAsia" w:ascii="仿宋_GB2312" w:hAnsi="ˎ̥" w:eastAsia="仿宋_GB2312" w:cs="Arial"/>
          <w:color w:val="000000"/>
          <w:kern w:val="0"/>
          <w:sz w:val="32"/>
          <w:szCs w:val="32"/>
        </w:rPr>
        <w:br w:type="textWrapping"/>
      </w:r>
      <w:r>
        <w:rPr>
          <w:rFonts w:hint="eastAsia" w:ascii="仿宋_GB2312" w:hAnsi="ˎ̥" w:eastAsia="仿宋_GB2312" w:cs="Arial"/>
          <w:color w:val="000000"/>
          <w:kern w:val="0"/>
          <w:sz w:val="32"/>
          <w:szCs w:val="32"/>
        </w:rPr>
        <w:t>　　6.拒绝、逃避、阻挠执法人员进行监督检查，或者拒不配合执法人员依法进行案件调查的；</w:t>
      </w:r>
      <w:r>
        <w:rPr>
          <w:rFonts w:hint="eastAsia" w:ascii="仿宋_GB2312" w:hAnsi="ˎ̥" w:eastAsia="仿宋_GB2312" w:cs="Arial"/>
          <w:color w:val="000000"/>
          <w:kern w:val="0"/>
          <w:sz w:val="32"/>
          <w:szCs w:val="32"/>
        </w:rPr>
        <w:br w:type="textWrapping"/>
      </w:r>
      <w:r>
        <w:rPr>
          <w:rFonts w:hint="eastAsia" w:ascii="仿宋_GB2312" w:hAnsi="ˎ̥" w:eastAsia="仿宋_GB2312" w:cs="Arial"/>
          <w:color w:val="000000"/>
          <w:kern w:val="0"/>
          <w:sz w:val="32"/>
          <w:szCs w:val="32"/>
        </w:rPr>
        <w:t>　　7.本年度动态风险评定获得两次以上黄标或者一次以上红标的；</w:t>
      </w:r>
    </w:p>
    <w:p>
      <w:pPr>
        <w:widowControl/>
        <w:adjustRightInd w:val="0"/>
        <w:snapToGrid w:val="0"/>
        <w:spacing w:line="560" w:lineRule="exact"/>
        <w:ind w:firstLine="645"/>
        <w:jc w:val="left"/>
        <w:rPr>
          <w:rFonts w:hint="eastAsia" w:ascii="仿宋_GB2312" w:hAnsi="ˎ̥" w:eastAsia="仿宋_GB2312" w:cs="Arial"/>
          <w:color w:val="000000"/>
          <w:kern w:val="0"/>
          <w:sz w:val="32"/>
          <w:szCs w:val="32"/>
        </w:rPr>
      </w:pPr>
      <w:r>
        <w:rPr>
          <w:rFonts w:hint="eastAsia" w:ascii="仿宋_GB2312" w:hAnsi="ˎ̥" w:eastAsia="仿宋_GB2312" w:cs="Arial"/>
          <w:color w:val="000000"/>
          <w:kern w:val="0"/>
          <w:sz w:val="32"/>
          <w:szCs w:val="32"/>
        </w:rPr>
        <w:t>8.具有法律、法规、规章和自治区级食品药品监督管理部门规定的其他可以上调风险等级的情形。</w:t>
      </w:r>
    </w:p>
    <w:p>
      <w:pPr>
        <w:widowControl/>
        <w:adjustRightInd w:val="0"/>
        <w:snapToGrid w:val="0"/>
        <w:spacing w:line="560" w:lineRule="exact"/>
        <w:jc w:val="left"/>
        <w:rPr>
          <w:rFonts w:hint="eastAsia" w:ascii="仿宋_GB2312" w:hAnsi="ˎ̥" w:eastAsia="仿宋_GB2312" w:cs="Arial"/>
          <w:color w:val="000000"/>
          <w:kern w:val="0"/>
          <w:sz w:val="32"/>
          <w:szCs w:val="32"/>
        </w:rPr>
      </w:pPr>
      <w:r>
        <w:rPr>
          <w:rFonts w:hint="eastAsia" w:ascii="仿宋_GB2312" w:hAnsi="ˎ̥" w:eastAsia="仿宋_GB2312" w:cs="Arial"/>
          <w:color w:val="000000"/>
          <w:kern w:val="0"/>
          <w:sz w:val="32"/>
          <w:szCs w:val="32"/>
        </w:rPr>
        <w:t>　　(八)食品流通经营者遵守食品安全法律法规，当年食品安全监督管理记录中未出现本规范第5.7条所列情形的，下一年度食品流通经营者风险等级可不作调整。</w:t>
      </w:r>
    </w:p>
    <w:p>
      <w:pPr>
        <w:widowControl/>
        <w:adjustRightInd w:val="0"/>
        <w:snapToGrid w:val="0"/>
        <w:spacing w:line="560" w:lineRule="exact"/>
        <w:jc w:val="left"/>
        <w:rPr>
          <w:rFonts w:hint="eastAsia" w:ascii="仿宋_GB2312" w:hAnsi="ˎ̥" w:eastAsia="仿宋_GB2312" w:cs="Arial"/>
          <w:color w:val="000000"/>
          <w:kern w:val="0"/>
          <w:sz w:val="32"/>
          <w:szCs w:val="32"/>
        </w:rPr>
      </w:pPr>
      <w:r>
        <w:rPr>
          <w:rFonts w:hint="eastAsia" w:ascii="仿宋_GB2312" w:hAnsi="ˎ̥" w:eastAsia="仿宋_GB2312" w:cs="Arial"/>
          <w:color w:val="000000"/>
          <w:kern w:val="0"/>
          <w:sz w:val="32"/>
          <w:szCs w:val="32"/>
        </w:rPr>
        <w:t>　　（九）食品流通经营者符合下列情形之一的，下一年度食品流通经营者风险等级可以调低一个等级：</w:t>
      </w:r>
      <w:r>
        <w:rPr>
          <w:rFonts w:hint="eastAsia" w:ascii="仿宋_GB2312" w:hAnsi="ˎ̥" w:eastAsia="仿宋_GB2312" w:cs="Arial"/>
          <w:color w:val="000000"/>
          <w:kern w:val="0"/>
          <w:sz w:val="32"/>
          <w:szCs w:val="32"/>
        </w:rPr>
        <w:br w:type="textWrapping"/>
      </w:r>
      <w:r>
        <w:rPr>
          <w:rFonts w:hint="eastAsia" w:ascii="仿宋_GB2312" w:hAnsi="ˎ̥" w:eastAsia="仿宋_GB2312" w:cs="Arial"/>
          <w:color w:val="000000"/>
          <w:kern w:val="0"/>
          <w:sz w:val="32"/>
          <w:szCs w:val="32"/>
        </w:rPr>
        <w:t>　　1.连续3年食品安全监督管理记录没有违反本规范第5.7条所列情形的；</w:t>
      </w:r>
      <w:r>
        <w:rPr>
          <w:rFonts w:hint="eastAsia" w:ascii="仿宋_GB2312" w:hAnsi="ˎ̥" w:eastAsia="仿宋_GB2312" w:cs="Arial"/>
          <w:color w:val="000000"/>
          <w:kern w:val="0"/>
          <w:sz w:val="32"/>
          <w:szCs w:val="32"/>
        </w:rPr>
        <w:br w:type="textWrapping"/>
      </w:r>
      <w:r>
        <w:rPr>
          <w:rFonts w:hint="eastAsia" w:ascii="仿宋_GB2312" w:hAnsi="ˎ̥" w:eastAsia="仿宋_GB2312" w:cs="Arial"/>
          <w:color w:val="000000"/>
          <w:kern w:val="0"/>
          <w:sz w:val="32"/>
          <w:szCs w:val="32"/>
        </w:rPr>
        <w:t>　　2.获得地市级以上人民政府食品安全质量奖项的；</w:t>
      </w:r>
      <w:r>
        <w:rPr>
          <w:rFonts w:hint="eastAsia" w:ascii="仿宋_GB2312" w:hAnsi="ˎ̥" w:eastAsia="仿宋_GB2312" w:cs="Arial"/>
          <w:color w:val="000000"/>
          <w:kern w:val="0"/>
          <w:sz w:val="32"/>
          <w:szCs w:val="32"/>
        </w:rPr>
        <w:br w:type="textWrapping"/>
      </w:r>
      <w:r>
        <w:rPr>
          <w:rFonts w:hint="eastAsia" w:ascii="仿宋_GB2312" w:hAnsi="ˎ̥" w:eastAsia="仿宋_GB2312" w:cs="Arial"/>
          <w:color w:val="000000"/>
          <w:kern w:val="0"/>
          <w:sz w:val="32"/>
          <w:szCs w:val="32"/>
        </w:rPr>
        <w:t>　　3.具有法律、法规、规章和自治区级食品药品监督管理部门规定的其他可以下调风险等级的情形。</w:t>
      </w:r>
    </w:p>
    <w:p>
      <w:pPr>
        <w:widowControl/>
        <w:adjustRightInd w:val="0"/>
        <w:snapToGrid w:val="0"/>
        <w:spacing w:line="560" w:lineRule="exact"/>
        <w:ind w:firstLine="630" w:firstLineChars="196"/>
        <w:jc w:val="left"/>
        <w:rPr>
          <w:rFonts w:hint="eastAsia" w:ascii="仿宋_GB2312" w:hAnsi="ˎ̥" w:eastAsia="仿宋_GB2312" w:cs="Arial"/>
          <w:b/>
          <w:bCs/>
          <w:color w:val="000000"/>
          <w:kern w:val="0"/>
          <w:sz w:val="32"/>
          <w:szCs w:val="32"/>
        </w:rPr>
      </w:pPr>
      <w:r>
        <w:rPr>
          <w:rFonts w:hint="eastAsia" w:ascii="仿宋_GB2312" w:hAnsi="ˎ̥" w:eastAsia="仿宋_GB2312" w:cs="Arial"/>
          <w:b/>
          <w:bCs/>
          <w:color w:val="000000"/>
          <w:kern w:val="0"/>
          <w:sz w:val="32"/>
          <w:szCs w:val="32"/>
        </w:rPr>
        <w:t>六、食品流通风险等级评价结果运用</w:t>
      </w:r>
    </w:p>
    <w:p>
      <w:pPr>
        <w:widowControl/>
        <w:adjustRightInd w:val="0"/>
        <w:snapToGrid w:val="0"/>
        <w:spacing w:line="560" w:lineRule="exact"/>
        <w:jc w:val="left"/>
        <w:rPr>
          <w:rFonts w:hint="eastAsia" w:ascii="仿宋_GB2312" w:hAnsi="ˎ̥" w:eastAsia="仿宋_GB2312" w:cs="Arial"/>
          <w:color w:val="000000"/>
          <w:kern w:val="0"/>
          <w:sz w:val="32"/>
          <w:szCs w:val="32"/>
        </w:rPr>
      </w:pPr>
      <w:r>
        <w:rPr>
          <w:rFonts w:hint="eastAsia" w:ascii="仿宋_GB2312" w:hAnsi="ˎ̥" w:eastAsia="仿宋_GB2312" w:cs="Arial"/>
          <w:color w:val="000000"/>
          <w:kern w:val="0"/>
          <w:sz w:val="32"/>
          <w:szCs w:val="32"/>
        </w:rPr>
        <w:t>　　(一)食品药品监督管理部门根据食品流通经营者风险等级，结合当地监管资源和监管水平，合理确定食品流通经营者的监督检查频次、监督检查内容、监督检查方式以及其他管理措施，作为制订年度食品流通监督检查计划的依据。</w:t>
      </w:r>
    </w:p>
    <w:p>
      <w:pPr>
        <w:widowControl/>
        <w:adjustRightInd w:val="0"/>
        <w:snapToGrid w:val="0"/>
        <w:spacing w:line="560" w:lineRule="exact"/>
        <w:jc w:val="left"/>
        <w:rPr>
          <w:rFonts w:hint="eastAsia" w:ascii="仿宋_GB2312" w:hAnsi="ˎ̥" w:eastAsia="仿宋_GB2312" w:cs="Arial"/>
          <w:color w:val="000000"/>
          <w:kern w:val="0"/>
          <w:sz w:val="32"/>
          <w:szCs w:val="32"/>
        </w:rPr>
      </w:pPr>
      <w:r>
        <w:rPr>
          <w:rFonts w:hint="eastAsia" w:ascii="仿宋_GB2312" w:hAnsi="ˎ̥" w:eastAsia="仿宋_GB2312" w:cs="Arial"/>
          <w:color w:val="000000"/>
          <w:kern w:val="0"/>
          <w:sz w:val="32"/>
          <w:szCs w:val="32"/>
        </w:rPr>
        <w:t>　　（二）食品药品监督管理部门应当根据食品流通经营者风险等级划分结果，对较高风险食品流通经营者的监管优先于较低风险食品流通经营者的监管，实现监管资源的科学配置和有效利用。</w:t>
      </w:r>
      <w:r>
        <w:rPr>
          <w:rFonts w:hint="eastAsia" w:ascii="仿宋_GB2312" w:hAnsi="ˎ̥" w:eastAsia="仿宋_GB2312" w:cs="Arial"/>
          <w:color w:val="000000"/>
          <w:kern w:val="0"/>
          <w:sz w:val="32"/>
          <w:szCs w:val="32"/>
        </w:rPr>
        <w:br w:type="textWrapping"/>
      </w:r>
      <w:r>
        <w:rPr>
          <w:rFonts w:hint="eastAsia" w:ascii="仿宋_GB2312" w:hAnsi="ˎ̥" w:eastAsia="仿宋_GB2312" w:cs="Arial"/>
          <w:color w:val="000000"/>
          <w:kern w:val="0"/>
          <w:sz w:val="32"/>
          <w:szCs w:val="32"/>
        </w:rPr>
        <w:t>　　1.对风险等级为A级风险的食品流通经营者，原则上每年至少监督检查1次；</w:t>
      </w:r>
      <w:r>
        <w:rPr>
          <w:rFonts w:hint="eastAsia" w:ascii="仿宋_GB2312" w:hAnsi="ˎ̥" w:eastAsia="仿宋_GB2312" w:cs="Arial"/>
          <w:color w:val="000000"/>
          <w:kern w:val="0"/>
          <w:sz w:val="32"/>
          <w:szCs w:val="32"/>
        </w:rPr>
        <w:br w:type="textWrapping"/>
      </w:r>
      <w:r>
        <w:rPr>
          <w:rFonts w:hint="eastAsia" w:ascii="仿宋_GB2312" w:hAnsi="ˎ̥" w:eastAsia="仿宋_GB2312" w:cs="Arial"/>
          <w:color w:val="000000"/>
          <w:kern w:val="0"/>
          <w:sz w:val="32"/>
          <w:szCs w:val="32"/>
        </w:rPr>
        <w:t>　　2.对风险等级为B级风险的食品流通经营者，原则上每年至少监督检查1—2次；</w:t>
      </w:r>
      <w:r>
        <w:rPr>
          <w:rFonts w:hint="eastAsia" w:ascii="仿宋_GB2312" w:hAnsi="ˎ̥" w:eastAsia="仿宋_GB2312" w:cs="Arial"/>
          <w:color w:val="000000"/>
          <w:kern w:val="0"/>
          <w:sz w:val="32"/>
          <w:szCs w:val="32"/>
        </w:rPr>
        <w:br w:type="textWrapping"/>
      </w:r>
      <w:r>
        <w:rPr>
          <w:rFonts w:hint="eastAsia" w:ascii="仿宋_GB2312" w:hAnsi="ˎ̥" w:eastAsia="仿宋_GB2312" w:cs="Arial"/>
          <w:color w:val="000000"/>
          <w:kern w:val="0"/>
          <w:sz w:val="32"/>
          <w:szCs w:val="32"/>
        </w:rPr>
        <w:t>　　3.对风险等级为C级风险的食品流通经营者，原则上每年至少监督检查2—3次；</w:t>
      </w:r>
      <w:r>
        <w:rPr>
          <w:rFonts w:hint="eastAsia" w:ascii="仿宋_GB2312" w:hAnsi="ˎ̥" w:eastAsia="仿宋_GB2312" w:cs="Arial"/>
          <w:color w:val="000000"/>
          <w:kern w:val="0"/>
          <w:sz w:val="32"/>
          <w:szCs w:val="32"/>
        </w:rPr>
        <w:br w:type="textWrapping"/>
      </w:r>
      <w:r>
        <w:rPr>
          <w:rFonts w:hint="eastAsia" w:ascii="仿宋_GB2312" w:hAnsi="ˎ̥" w:eastAsia="仿宋_GB2312" w:cs="Arial"/>
          <w:color w:val="000000"/>
          <w:kern w:val="0"/>
          <w:sz w:val="32"/>
          <w:szCs w:val="32"/>
        </w:rPr>
        <w:t>　　4.对风险等级为D级风险的食品流通经营者，原则上每年至少监督检查3—4次。</w:t>
      </w:r>
      <w:r>
        <w:rPr>
          <w:rFonts w:hint="eastAsia" w:ascii="仿宋_GB2312" w:hAnsi="ˎ̥" w:eastAsia="仿宋_GB2312" w:cs="Arial"/>
          <w:color w:val="000000"/>
          <w:kern w:val="0"/>
          <w:sz w:val="32"/>
          <w:szCs w:val="32"/>
        </w:rPr>
        <w:br w:type="textWrapping"/>
      </w:r>
      <w:r>
        <w:rPr>
          <w:rFonts w:hint="eastAsia" w:ascii="仿宋_GB2312" w:hAnsi="ˎ̥" w:eastAsia="仿宋_GB2312" w:cs="Arial"/>
          <w:color w:val="000000"/>
          <w:kern w:val="0"/>
          <w:sz w:val="32"/>
          <w:szCs w:val="32"/>
        </w:rPr>
        <w:t>　　具体检查频次和监管重点由各盟市级食品药品监督管理部门确定。</w:t>
      </w:r>
    </w:p>
    <w:p>
      <w:pPr>
        <w:widowControl/>
        <w:adjustRightInd w:val="0"/>
        <w:snapToGrid w:val="0"/>
        <w:spacing w:line="560" w:lineRule="exact"/>
        <w:jc w:val="left"/>
        <w:rPr>
          <w:rFonts w:hint="eastAsia" w:ascii="仿宋_GB2312" w:hAnsi="ˎ̥" w:eastAsia="仿宋_GB2312" w:cs="Arial"/>
          <w:color w:val="000000"/>
          <w:kern w:val="0"/>
          <w:sz w:val="32"/>
          <w:szCs w:val="32"/>
        </w:rPr>
      </w:pPr>
      <w:r>
        <w:rPr>
          <w:rFonts w:hint="eastAsia" w:ascii="仿宋_GB2312" w:hAnsi="ˎ̥" w:eastAsia="仿宋_GB2312" w:cs="Arial"/>
          <w:color w:val="000000"/>
          <w:kern w:val="0"/>
          <w:sz w:val="32"/>
          <w:szCs w:val="32"/>
        </w:rPr>
        <w:t>　　(三)盟市及旗县级食品药品监督管理部门应当统计分析行政区域内食品流通经营者风险分级结果，确定监管重点区域、重点行业、重点企业。及时排查食品流通安全风险隐患，在监督检查、监督抽检和风险监测中确定重点食品流通经营者。</w:t>
      </w:r>
    </w:p>
    <w:p>
      <w:pPr>
        <w:widowControl/>
        <w:adjustRightInd w:val="0"/>
        <w:snapToGrid w:val="0"/>
        <w:spacing w:line="560" w:lineRule="exact"/>
        <w:jc w:val="left"/>
        <w:rPr>
          <w:rFonts w:hint="eastAsia" w:ascii="仿宋_GB2312" w:hAnsi="ˎ̥" w:eastAsia="仿宋_GB2312" w:cs="Arial"/>
          <w:color w:val="000000"/>
          <w:kern w:val="0"/>
          <w:sz w:val="32"/>
          <w:szCs w:val="32"/>
        </w:rPr>
      </w:pPr>
      <w:r>
        <w:rPr>
          <w:rFonts w:hint="eastAsia" w:ascii="仿宋_GB2312" w:hAnsi="ˎ̥" w:eastAsia="仿宋_GB2312" w:cs="Arial"/>
          <w:color w:val="000000"/>
          <w:kern w:val="0"/>
          <w:sz w:val="32"/>
          <w:szCs w:val="32"/>
        </w:rPr>
        <w:t>　　(四)盟市及旗县级食品药品监督管理部门应当根据风险等级对食品流通经营者进行分类，可以建立行政区域内食品流通经营者的分类系统及数据平台，记录、汇总、分析食品流通经营风险分级信息，实行信息化管理。</w:t>
      </w:r>
    </w:p>
    <w:p>
      <w:pPr>
        <w:widowControl/>
        <w:adjustRightInd w:val="0"/>
        <w:snapToGrid w:val="0"/>
        <w:spacing w:line="560" w:lineRule="exact"/>
        <w:ind w:firstLine="645"/>
        <w:jc w:val="left"/>
        <w:rPr>
          <w:rFonts w:hint="eastAsia" w:ascii="仿宋_GB2312" w:hAnsi="ˎ̥" w:eastAsia="仿宋_GB2312" w:cs="Arial"/>
          <w:color w:val="000000"/>
          <w:kern w:val="0"/>
          <w:sz w:val="32"/>
          <w:szCs w:val="32"/>
        </w:rPr>
      </w:pPr>
      <w:r>
        <w:rPr>
          <w:rFonts w:hint="eastAsia" w:ascii="仿宋_GB2312" w:hAnsi="ˎ̥" w:eastAsia="仿宋_GB2312" w:cs="Arial"/>
          <w:color w:val="000000"/>
          <w:kern w:val="0"/>
          <w:sz w:val="32"/>
          <w:szCs w:val="32"/>
        </w:rPr>
        <w:t>（五）盟市及旗县级食品药品监督管理部门应当根据食品流通经营者风险等级和检查频次，确定本行政区域内所需检查力量及设施配备等，并合理调整检查力量分配。</w:t>
      </w:r>
    </w:p>
    <w:p>
      <w:pPr>
        <w:widowControl/>
        <w:adjustRightInd w:val="0"/>
        <w:snapToGrid w:val="0"/>
        <w:spacing w:line="560" w:lineRule="exact"/>
        <w:ind w:firstLine="645"/>
        <w:jc w:val="left"/>
        <w:rPr>
          <w:rFonts w:hint="eastAsia" w:ascii="仿宋_GB2312" w:hAnsi="ˎ̥" w:eastAsia="仿宋_GB2312" w:cs="Arial"/>
          <w:color w:val="000000"/>
          <w:kern w:val="0"/>
          <w:sz w:val="32"/>
          <w:szCs w:val="32"/>
        </w:rPr>
      </w:pPr>
      <w:r>
        <w:rPr>
          <w:rFonts w:hint="eastAsia" w:ascii="仿宋_GB2312" w:hAnsi="ˎ̥" w:eastAsia="仿宋_GB2312" w:cs="Arial"/>
          <w:color w:val="000000"/>
          <w:kern w:val="0"/>
          <w:sz w:val="32"/>
          <w:szCs w:val="32"/>
        </w:rPr>
        <w:t>（六）食品流通经营者应当根据食品流通风险分级结果，改进和提高食品流通经营控制水平，加强落实食品安全主体责任。</w:t>
      </w:r>
    </w:p>
    <w:p>
      <w:pPr>
        <w:widowControl/>
        <w:adjustRightInd w:val="0"/>
        <w:snapToGrid w:val="0"/>
        <w:spacing w:line="560" w:lineRule="exact"/>
        <w:ind w:firstLine="630" w:firstLineChars="196"/>
        <w:jc w:val="left"/>
        <w:rPr>
          <w:rFonts w:hint="eastAsia" w:ascii="仿宋_GB2312" w:hAnsi="ˎ̥" w:eastAsia="仿宋_GB2312" w:cs="Arial"/>
          <w:b/>
          <w:bCs/>
          <w:color w:val="000000"/>
          <w:kern w:val="0"/>
          <w:sz w:val="32"/>
          <w:szCs w:val="32"/>
        </w:rPr>
      </w:pPr>
      <w:r>
        <w:rPr>
          <w:rFonts w:hint="eastAsia" w:ascii="仿宋_GB2312" w:hAnsi="ˎ̥" w:eastAsia="仿宋_GB2312" w:cs="Arial"/>
          <w:b/>
          <w:bCs/>
          <w:color w:val="000000"/>
          <w:kern w:val="0"/>
          <w:sz w:val="32"/>
          <w:szCs w:val="32"/>
        </w:rPr>
        <w:t>七、其他事项</w:t>
      </w:r>
    </w:p>
    <w:p>
      <w:pPr>
        <w:widowControl/>
        <w:adjustRightInd w:val="0"/>
        <w:snapToGrid w:val="0"/>
        <w:spacing w:line="560" w:lineRule="exact"/>
        <w:ind w:firstLine="645"/>
        <w:jc w:val="left"/>
        <w:rPr>
          <w:rFonts w:hint="eastAsia" w:ascii="仿宋_GB2312" w:hAnsi="ˎ̥" w:eastAsia="仿宋_GB2312" w:cs="Arial"/>
          <w:color w:val="000000"/>
          <w:kern w:val="0"/>
          <w:sz w:val="32"/>
          <w:szCs w:val="32"/>
        </w:rPr>
      </w:pPr>
      <w:r>
        <w:rPr>
          <w:rFonts w:hint="eastAsia" w:ascii="仿宋_GB2312" w:hAnsi="ˎ̥" w:eastAsia="仿宋_GB2312" w:cs="Arial"/>
          <w:color w:val="000000"/>
          <w:kern w:val="0"/>
          <w:sz w:val="32"/>
          <w:szCs w:val="32"/>
        </w:rPr>
        <w:t>全区各级食品药品监督管理部门的相关工作人员在食品流通风险分级管理工作中不得滥用职权、玩忽职守、徇私舞弊。</w:t>
      </w:r>
    </w:p>
    <w:p>
      <w:pPr>
        <w:widowControl/>
        <w:adjustRightInd w:val="0"/>
        <w:snapToGrid w:val="0"/>
        <w:spacing w:line="560" w:lineRule="exact"/>
        <w:ind w:firstLine="645"/>
        <w:jc w:val="left"/>
        <w:rPr>
          <w:rFonts w:hint="eastAsia" w:ascii="仿宋_GB2312" w:hAnsi="ˎ̥" w:eastAsia="仿宋_GB2312" w:cs="Arial"/>
          <w:color w:val="000000"/>
          <w:kern w:val="0"/>
          <w:sz w:val="32"/>
          <w:szCs w:val="32"/>
        </w:rPr>
      </w:pPr>
      <w:r>
        <w:rPr>
          <w:rFonts w:hint="eastAsia" w:ascii="仿宋_GB2312" w:hAnsi="ˎ̥" w:eastAsia="仿宋_GB2312" w:cs="Arial"/>
          <w:color w:val="000000"/>
          <w:kern w:val="0"/>
          <w:sz w:val="32"/>
          <w:szCs w:val="32"/>
        </w:rPr>
        <w:t>本工作规范由内蒙古自治区食品药品监督管理局负责解释，对内蒙古自治区内食品销售摊贩的风险分级管理参照本工作规范执行，本工作规范自2018年6月1日起施行。</w:t>
      </w:r>
    </w:p>
    <w:p>
      <w:pPr>
        <w:widowControl/>
        <w:adjustRightInd w:val="0"/>
        <w:snapToGrid w:val="0"/>
        <w:spacing w:line="560" w:lineRule="exact"/>
        <w:ind w:firstLine="645"/>
        <w:jc w:val="left"/>
        <w:rPr>
          <w:rFonts w:hint="eastAsia" w:ascii="仿宋_GB2312" w:hAnsi="ˎ̥" w:eastAsia="仿宋_GB2312" w:cs="Arial"/>
          <w:color w:val="000000"/>
          <w:kern w:val="0"/>
          <w:sz w:val="32"/>
          <w:szCs w:val="32"/>
        </w:rPr>
      </w:pPr>
    </w:p>
    <w:p>
      <w:pPr>
        <w:widowControl/>
        <w:adjustRightInd w:val="0"/>
        <w:snapToGrid w:val="0"/>
        <w:spacing w:line="560" w:lineRule="exact"/>
        <w:jc w:val="left"/>
        <w:outlineLvl w:val="0"/>
        <w:rPr>
          <w:rFonts w:ascii="黑体" w:hAnsi="黑体" w:eastAsia="黑体"/>
          <w:sz w:val="32"/>
          <w:szCs w:val="32"/>
        </w:rPr>
      </w:pPr>
    </w:p>
    <w:p>
      <w:pPr>
        <w:widowControl/>
        <w:adjustRightInd w:val="0"/>
        <w:snapToGrid w:val="0"/>
        <w:spacing w:line="560" w:lineRule="exact"/>
        <w:jc w:val="left"/>
        <w:outlineLvl w:val="0"/>
        <w:rPr>
          <w:rFonts w:ascii="黑体" w:hAnsi="黑体" w:eastAsia="黑体"/>
          <w:sz w:val="32"/>
          <w:szCs w:val="32"/>
        </w:rPr>
      </w:pPr>
    </w:p>
    <w:p>
      <w:pPr>
        <w:widowControl/>
        <w:adjustRightInd w:val="0"/>
        <w:snapToGrid w:val="0"/>
        <w:spacing w:line="560" w:lineRule="exact"/>
        <w:jc w:val="left"/>
        <w:outlineLvl w:val="0"/>
        <w:rPr>
          <w:rFonts w:ascii="黑体" w:hAnsi="黑体" w:eastAsia="黑体"/>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37091518"/>
      <w:docPartObj>
        <w:docPartGallery w:val="autotext"/>
      </w:docPartObj>
    </w:sdtPr>
    <w:sdtContent>
      <w:p>
        <w:pPr>
          <w:pStyle w:val="4"/>
          <w:jc w:val="center"/>
        </w:pPr>
        <w:r>
          <w:fldChar w:fldCharType="begin"/>
        </w:r>
        <w:r>
          <w:instrText xml:space="preserve">PAGE   \* MERGEFORMAT</w:instrText>
        </w:r>
        <w:r>
          <w:fldChar w:fldCharType="separate"/>
        </w:r>
        <w:r>
          <w:rPr>
            <w:lang w:val="zh-CN"/>
          </w:rPr>
          <w:t>10</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kYzcwYjY4YmY4YWZlMThmMTNlMDVkNjdhYTM0ZDkifQ=="/>
  </w:docVars>
  <w:rsids>
    <w:rsidRoot w:val="002A1F2D"/>
    <w:rsid w:val="00015014"/>
    <w:rsid w:val="0005319A"/>
    <w:rsid w:val="00091F4E"/>
    <w:rsid w:val="000D39AE"/>
    <w:rsid w:val="00100F35"/>
    <w:rsid w:val="00124688"/>
    <w:rsid w:val="00134362"/>
    <w:rsid w:val="0018494C"/>
    <w:rsid w:val="001859BC"/>
    <w:rsid w:val="00190189"/>
    <w:rsid w:val="00197FA5"/>
    <w:rsid w:val="001E7A45"/>
    <w:rsid w:val="00230F9E"/>
    <w:rsid w:val="0028246F"/>
    <w:rsid w:val="002A1F2D"/>
    <w:rsid w:val="002C4496"/>
    <w:rsid w:val="002C4679"/>
    <w:rsid w:val="002D74D6"/>
    <w:rsid w:val="002D7CD8"/>
    <w:rsid w:val="003444A3"/>
    <w:rsid w:val="00351CDD"/>
    <w:rsid w:val="00373DB2"/>
    <w:rsid w:val="003779B4"/>
    <w:rsid w:val="00377AC9"/>
    <w:rsid w:val="0038438A"/>
    <w:rsid w:val="003A441D"/>
    <w:rsid w:val="003C0D2A"/>
    <w:rsid w:val="003C6D8E"/>
    <w:rsid w:val="00406B93"/>
    <w:rsid w:val="00480003"/>
    <w:rsid w:val="00496E0F"/>
    <w:rsid w:val="004A62C6"/>
    <w:rsid w:val="004E78CF"/>
    <w:rsid w:val="00505681"/>
    <w:rsid w:val="00511DF3"/>
    <w:rsid w:val="00513A03"/>
    <w:rsid w:val="005162FB"/>
    <w:rsid w:val="00563D86"/>
    <w:rsid w:val="005640A8"/>
    <w:rsid w:val="0056592D"/>
    <w:rsid w:val="00566C07"/>
    <w:rsid w:val="0058013C"/>
    <w:rsid w:val="00582559"/>
    <w:rsid w:val="005D13DC"/>
    <w:rsid w:val="005D6073"/>
    <w:rsid w:val="005D6F78"/>
    <w:rsid w:val="005F0913"/>
    <w:rsid w:val="005F157D"/>
    <w:rsid w:val="00643E6F"/>
    <w:rsid w:val="00652C94"/>
    <w:rsid w:val="00696C3B"/>
    <w:rsid w:val="006C5F0F"/>
    <w:rsid w:val="006D42BA"/>
    <w:rsid w:val="007302FD"/>
    <w:rsid w:val="00762146"/>
    <w:rsid w:val="0077024F"/>
    <w:rsid w:val="007763BE"/>
    <w:rsid w:val="007778D9"/>
    <w:rsid w:val="007B04CE"/>
    <w:rsid w:val="007C248C"/>
    <w:rsid w:val="007D544D"/>
    <w:rsid w:val="0080284D"/>
    <w:rsid w:val="00804EA1"/>
    <w:rsid w:val="0084491B"/>
    <w:rsid w:val="00854172"/>
    <w:rsid w:val="008A7AAB"/>
    <w:rsid w:val="008F3F34"/>
    <w:rsid w:val="008F7BB7"/>
    <w:rsid w:val="00911CC9"/>
    <w:rsid w:val="009641D4"/>
    <w:rsid w:val="009C3CF6"/>
    <w:rsid w:val="009C5FB1"/>
    <w:rsid w:val="009D51FB"/>
    <w:rsid w:val="00A477F2"/>
    <w:rsid w:val="00A76D18"/>
    <w:rsid w:val="00A81E75"/>
    <w:rsid w:val="00A87BA4"/>
    <w:rsid w:val="00B031AC"/>
    <w:rsid w:val="00B2374F"/>
    <w:rsid w:val="00B42E0A"/>
    <w:rsid w:val="00B727EF"/>
    <w:rsid w:val="00C0408B"/>
    <w:rsid w:val="00C04C6A"/>
    <w:rsid w:val="00C3632C"/>
    <w:rsid w:val="00C561D6"/>
    <w:rsid w:val="00C731D6"/>
    <w:rsid w:val="00C7709F"/>
    <w:rsid w:val="00CB46DF"/>
    <w:rsid w:val="00CB5C5C"/>
    <w:rsid w:val="00CD1C8B"/>
    <w:rsid w:val="00CD3DA6"/>
    <w:rsid w:val="00D042B4"/>
    <w:rsid w:val="00D20E63"/>
    <w:rsid w:val="00D473D3"/>
    <w:rsid w:val="00D765DC"/>
    <w:rsid w:val="00D871FA"/>
    <w:rsid w:val="00D9551E"/>
    <w:rsid w:val="00DA35C2"/>
    <w:rsid w:val="00E02AD5"/>
    <w:rsid w:val="00E74AA8"/>
    <w:rsid w:val="00E91D9C"/>
    <w:rsid w:val="00EB5026"/>
    <w:rsid w:val="00ED4577"/>
    <w:rsid w:val="00EE2AD8"/>
    <w:rsid w:val="00F00B7F"/>
    <w:rsid w:val="00F145E5"/>
    <w:rsid w:val="00F252D1"/>
    <w:rsid w:val="00F414B4"/>
    <w:rsid w:val="00F66787"/>
    <w:rsid w:val="00F83C17"/>
    <w:rsid w:val="00FA4E0F"/>
    <w:rsid w:val="29291C79"/>
    <w:rsid w:val="3940148C"/>
    <w:rsid w:val="69C33D7C"/>
    <w:rsid w:val="7B9D6C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caption"/>
    <w:basedOn w:val="1"/>
    <w:next w:val="1"/>
    <w:unhideWhenUsed/>
    <w:qFormat/>
    <w:uiPriority w:val="35"/>
    <w:rPr>
      <w:rFonts w:ascii="Cambria" w:hAnsi="Cambria" w:eastAsia="黑体" w:cs="Times New Roman"/>
      <w:sz w:val="20"/>
      <w:szCs w:val="20"/>
    </w:rPr>
  </w:style>
  <w:style w:type="paragraph" w:styleId="3">
    <w:name w:val="Balloon Text"/>
    <w:basedOn w:val="1"/>
    <w:link w:val="10"/>
    <w:semiHidden/>
    <w:unhideWhenUsed/>
    <w:uiPriority w:val="99"/>
    <w:rPr>
      <w:sz w:val="18"/>
      <w:szCs w:val="18"/>
    </w:rPr>
  </w:style>
  <w:style w:type="paragraph" w:styleId="4">
    <w:name w:val="footer"/>
    <w:basedOn w:val="1"/>
    <w:link w:val="12"/>
    <w:unhideWhenUsed/>
    <w:uiPriority w:val="99"/>
    <w:pPr>
      <w:tabs>
        <w:tab w:val="center" w:pos="4153"/>
        <w:tab w:val="right" w:pos="8306"/>
      </w:tabs>
      <w:snapToGrid w:val="0"/>
      <w:jc w:val="left"/>
    </w:pPr>
    <w:rPr>
      <w:sz w:val="18"/>
      <w:szCs w:val="18"/>
    </w:rPr>
  </w:style>
  <w:style w:type="paragraph" w:styleId="5">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22"/>
    <w:rPr>
      <w:b/>
      <w:bCs/>
    </w:rPr>
  </w:style>
  <w:style w:type="character" w:styleId="9">
    <w:name w:val="Hyperlink"/>
    <w:basedOn w:val="7"/>
    <w:semiHidden/>
    <w:unhideWhenUsed/>
    <w:uiPriority w:val="99"/>
    <w:rPr>
      <w:color w:val="000000"/>
      <w:u w:val="none"/>
    </w:rPr>
  </w:style>
  <w:style w:type="character" w:customStyle="1" w:styleId="10">
    <w:name w:val="批注框文本 Char"/>
    <w:basedOn w:val="7"/>
    <w:link w:val="3"/>
    <w:semiHidden/>
    <w:uiPriority w:val="99"/>
    <w:rPr>
      <w:sz w:val="18"/>
      <w:szCs w:val="18"/>
    </w:rPr>
  </w:style>
  <w:style w:type="character" w:customStyle="1" w:styleId="11">
    <w:name w:val="页眉 Char"/>
    <w:basedOn w:val="7"/>
    <w:link w:val="5"/>
    <w:uiPriority w:val="99"/>
    <w:rPr>
      <w:sz w:val="18"/>
      <w:szCs w:val="18"/>
    </w:rPr>
  </w:style>
  <w:style w:type="character" w:customStyle="1" w:styleId="12">
    <w:name w:val="页脚 Char"/>
    <w:basedOn w:val="7"/>
    <w:link w:val="4"/>
    <w:uiPriority w:val="99"/>
    <w:rPr>
      <w:sz w:val="18"/>
      <w:szCs w:val="18"/>
    </w:rPr>
  </w:style>
  <w:style w:type="character" w:customStyle="1" w:styleId="13">
    <w:name w:val="font51"/>
    <w:qFormat/>
    <w:uiPriority w:val="0"/>
    <w:rPr>
      <w:rFonts w:hint="eastAsia" w:ascii="宋体" w:hAnsi="宋体" w:eastAsia="宋体" w:cs="宋体"/>
      <w:color w:val="000000"/>
      <w:sz w:val="24"/>
      <w:szCs w:val="24"/>
      <w:u w:val="none"/>
    </w:rPr>
  </w:style>
  <w:style w:type="character" w:customStyle="1" w:styleId="14">
    <w:name w:val="font61"/>
    <w:qFormat/>
    <w:uiPriority w:val="0"/>
    <w:rPr>
      <w:rFonts w:hint="eastAsia" w:ascii="仿宋" w:hAnsi="仿宋" w:eastAsia="仿宋" w:cs="仿宋"/>
      <w:color w:val="000000"/>
      <w:sz w:val="24"/>
      <w:szCs w:val="24"/>
      <w:u w:val="none"/>
    </w:rPr>
  </w:style>
  <w:style w:type="character" w:customStyle="1" w:styleId="15">
    <w:name w:val="font81"/>
    <w:qFormat/>
    <w:uiPriority w:val="0"/>
    <w:rPr>
      <w:rFonts w:hint="eastAsia" w:ascii="宋体" w:hAnsi="宋体" w:eastAsia="宋体" w:cs="宋体"/>
      <w:color w:val="000000"/>
      <w:sz w:val="24"/>
      <w:szCs w:val="24"/>
      <w:u w:val="none"/>
    </w:rPr>
  </w:style>
  <w:style w:type="character" w:customStyle="1" w:styleId="16">
    <w:name w:val="font21"/>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CFA049-230E-4679-8E12-07127CBE0724}">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10</Pages>
  <Words>4681</Words>
  <Characters>4740</Characters>
  <Lines>132</Lines>
  <Paragraphs>97</Paragraphs>
  <TotalTime>3</TotalTime>
  <ScaleCrop>false</ScaleCrop>
  <LinksUpToDate>false</LinksUpToDate>
  <CharactersWithSpaces>4825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2017-09-25T03:56:00Z</dcterms:created>
  <dc:creator>Lenovo User</dc:creator>
  <cp:lastModifiedBy>糯米果专卖</cp:lastModifiedBy>
  <cp:lastPrinted>2017-11-07T03:04:00Z</cp:lastPrinted>
  <dcterms:modified xsi:type="dcterms:W3CDTF">2024-08-30T07:53:19Z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CC75571EE50E425C8C18282767DB994B_12</vt:lpwstr>
  </property>
</Properties>
</file>