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328091">
      <w:pPr>
        <w:keepNext w:val="0"/>
        <w:keepLines w:val="0"/>
        <w:pageBreakBefore w:val="0"/>
        <w:widowControl w:val="0"/>
        <w:suppressAutoHyphens/>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auto"/>
          <w:sz w:val="32"/>
          <w:szCs w:val="32"/>
          <w:highlight w:val="none"/>
          <w:lang w:eastAsia="zh-CN"/>
        </w:rPr>
      </w:pPr>
      <w:bookmarkStart w:id="0" w:name="OLE_LINK3"/>
      <w:bookmarkStart w:id="1" w:name="OLE_LINK2"/>
      <w:r>
        <w:rPr>
          <w:rFonts w:hint="default" w:ascii="Times New Roman" w:hAnsi="Times New Roman" w:eastAsia="黑体" w:cs="Times New Roman"/>
          <w:color w:val="auto"/>
          <w:sz w:val="32"/>
          <w:szCs w:val="32"/>
          <w:highlight w:val="none"/>
        </w:rPr>
        <w:t>附件</w:t>
      </w:r>
      <w:r>
        <w:rPr>
          <w:rFonts w:hint="default" w:ascii="Times New Roman" w:hAnsi="Times New Roman" w:eastAsia="黑体" w:cs="Times New Roman"/>
          <w:color w:val="auto"/>
          <w:sz w:val="32"/>
          <w:szCs w:val="32"/>
          <w:highlight w:val="none"/>
          <w:lang w:val="en-US" w:eastAsia="zh-CN"/>
        </w:rPr>
        <w:t>2</w:t>
      </w:r>
    </w:p>
    <w:p w14:paraId="30C29413">
      <w:pPr>
        <w:keepNext w:val="0"/>
        <w:keepLines w:val="0"/>
        <w:pageBreakBefore w:val="0"/>
        <w:widowControl w:val="0"/>
        <w:suppressAutoHyphens/>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auto"/>
          <w:spacing w:val="-11"/>
          <w:sz w:val="44"/>
          <w:szCs w:val="44"/>
          <w:highlight w:val="none"/>
        </w:rPr>
      </w:pPr>
      <w:r>
        <w:rPr>
          <w:rFonts w:hint="eastAsia" w:eastAsia="方正小标宋简体" w:cs="Times New Roman"/>
          <w:color w:val="auto"/>
          <w:sz w:val="44"/>
          <w:szCs w:val="44"/>
          <w:highlight w:val="none"/>
          <w:lang w:val="en-US" w:eastAsia="zh-CN"/>
        </w:rPr>
        <w:t>达拉特旗</w:t>
      </w:r>
      <w:r>
        <w:rPr>
          <w:rFonts w:hint="default" w:ascii="Times New Roman" w:hAnsi="Times New Roman" w:eastAsia="方正小标宋简体" w:cs="Times New Roman"/>
          <w:color w:val="auto"/>
          <w:sz w:val="44"/>
          <w:szCs w:val="44"/>
          <w:highlight w:val="none"/>
        </w:rPr>
        <w:t>应急管理</w:t>
      </w:r>
      <w:r>
        <w:rPr>
          <w:rFonts w:hint="default" w:ascii="Times New Roman" w:hAnsi="Times New Roman" w:eastAsia="方正小标宋简体" w:cs="Times New Roman"/>
          <w:color w:val="auto"/>
          <w:sz w:val="44"/>
          <w:szCs w:val="44"/>
          <w:highlight w:val="none"/>
          <w:lang w:eastAsia="zh-CN"/>
        </w:rPr>
        <w:t>局</w:t>
      </w:r>
      <w:r>
        <w:rPr>
          <w:rFonts w:hint="default" w:ascii="Times New Roman" w:hAnsi="Times New Roman" w:eastAsia="方正小标宋简体" w:cs="Times New Roman"/>
          <w:color w:val="auto"/>
          <w:sz w:val="44"/>
          <w:szCs w:val="44"/>
          <w:highlight w:val="none"/>
        </w:rPr>
        <w:t>2025年度危险化学品、</w:t>
      </w:r>
      <w:r>
        <w:rPr>
          <w:rFonts w:hint="default" w:ascii="Times New Roman" w:hAnsi="Times New Roman" w:eastAsia="方正小标宋简体" w:cs="Times New Roman"/>
          <w:color w:val="auto"/>
          <w:spacing w:val="-11"/>
          <w:sz w:val="44"/>
          <w:szCs w:val="44"/>
          <w:highlight w:val="none"/>
        </w:rPr>
        <w:t>工贸等</w:t>
      </w:r>
      <w:r>
        <w:rPr>
          <w:rFonts w:hint="default" w:ascii="Times New Roman" w:hAnsi="Times New Roman" w:eastAsia="方正小标宋简体" w:cs="Times New Roman"/>
          <w:color w:val="auto"/>
          <w:spacing w:val="-11"/>
          <w:sz w:val="44"/>
          <w:szCs w:val="44"/>
          <w:highlight w:val="none"/>
          <w:lang w:val="en-US" w:eastAsia="zh-CN"/>
        </w:rPr>
        <w:t>行业</w:t>
      </w:r>
      <w:r>
        <w:rPr>
          <w:rFonts w:hint="default" w:ascii="Times New Roman" w:hAnsi="Times New Roman" w:eastAsia="方正小标宋简体" w:cs="Times New Roman"/>
          <w:color w:val="auto"/>
          <w:spacing w:val="-11"/>
          <w:sz w:val="44"/>
          <w:szCs w:val="44"/>
          <w:highlight w:val="none"/>
        </w:rPr>
        <w:t>领域安全生产执法检查重点内容</w:t>
      </w:r>
    </w:p>
    <w:p w14:paraId="170FAE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kern w:val="0"/>
          <w:sz w:val="32"/>
          <w:szCs w:val="32"/>
          <w:highlight w:val="none"/>
        </w:rPr>
      </w:pPr>
    </w:p>
    <w:p w14:paraId="2DABBA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eastAsia" w:ascii="黑体" w:hAnsi="黑体" w:eastAsia="黑体" w:cs="黑体"/>
          <w:color w:val="auto"/>
          <w:kern w:val="0"/>
          <w:sz w:val="32"/>
          <w:szCs w:val="32"/>
          <w:highlight w:val="none"/>
        </w:rPr>
        <w:t>一</w:t>
      </w:r>
      <w:r>
        <w:rPr>
          <w:rFonts w:hint="eastAsia" w:ascii="黑体" w:hAnsi="黑体" w:eastAsia="黑体" w:cs="黑体"/>
          <w:color w:val="auto"/>
          <w:kern w:val="0"/>
          <w:sz w:val="32"/>
          <w:szCs w:val="32"/>
          <w:highlight w:val="none"/>
          <w:lang w:eastAsia="zh-CN"/>
        </w:rPr>
        <w:t>、</w:t>
      </w:r>
      <w:r>
        <w:rPr>
          <w:rFonts w:hint="eastAsia" w:ascii="黑体" w:hAnsi="黑体" w:eastAsia="黑体" w:cs="黑体"/>
          <w:color w:val="auto"/>
          <w:kern w:val="0"/>
          <w:sz w:val="32"/>
          <w:szCs w:val="32"/>
          <w:highlight w:val="none"/>
        </w:rPr>
        <w:t>危险化学品企业</w:t>
      </w:r>
    </w:p>
    <w:p w14:paraId="20FA1B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1.危险化学品企业主要负责人未履行法定安全生产管理职责（包括主要负责人不明确导致主要负责人法定安全生产管理职责不落实的）。</w:t>
      </w:r>
    </w:p>
    <w:p w14:paraId="7E7563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2.未将事故隐患排查治理情况如实记录或者未向从业人员通报（包括主要负责人未进行安全风险承诺公告，或者承诺公告与现场情况不相符合、虚假承诺等相关情形）。</w:t>
      </w:r>
    </w:p>
    <w:p w14:paraId="3546DE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3.未按规定对涉及易燃易爆、剧毒物料的危险化学品管道（包括管件）定期进行检查、检测。</w:t>
      </w:r>
    </w:p>
    <w:p w14:paraId="09726E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4. 涉及易燃易爆、剧毒物料的设备、管线及管件发生泄漏，未妥善处置仍继续运行，或者打卡子带病运行、未采取有效措施彻底消除隐患。</w:t>
      </w:r>
    </w:p>
    <w:p w14:paraId="75FD2D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5. 涉及重大危险源、重点监管危险化工工艺的生产装置、储存设施的安全联锁摘除未履行手续，或者未及时恢复。</w:t>
      </w:r>
    </w:p>
    <w:p w14:paraId="088B74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6.未落实变更管理制度（包括涉及重大危险源、重点监管危险化工工艺的生产装置和储存设施，主要负责人、原料、工艺路线、产品、关键设备方面发生的变化未纳入变更管理，或者在变更时未进行安全风险分析等相关情形）。</w:t>
      </w:r>
    </w:p>
    <w:p w14:paraId="4EE0C9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7.油气内浮顶储罐运行中浮盘落底；或特殊情况下需要进行浮盘落底操作，未采取相应安全措施。</w:t>
      </w:r>
    </w:p>
    <w:p w14:paraId="082B59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8.危险化学品重大危险源企业双重预防机制未有效运行（包括未将日常巡检、隐患排查、专项检查统一管理等情形）。</w:t>
      </w:r>
    </w:p>
    <w:p w14:paraId="6AEAD7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9.未建立并落实安全生产责任制（包括未建立重大危险源主要负责人、技术负责人、操作负责人的安全包保责任制并如实履职等相关情形）。</w:t>
      </w:r>
    </w:p>
    <w:p w14:paraId="4A57B6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10.构成一级、二级重大危险源的危险化学品罐区未实现紧急切断功能；涉及毒性气体、液化气体、剧毒液体的一级、二级重大危险源的危险化学品罐区未配备独立的安全仪表系统。</w:t>
      </w:r>
    </w:p>
    <w:p w14:paraId="210C74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11.从业人员不具备相应的安全生产知识和管理能力（包括涉及“两重点一重大”生产装置和储存设施的企业，主要负责人和主管生产、设备、技术、安全的负责人及安全生产管理人员不具备化学、化工、安全等相关专业大专及以上学历或化工类中级及以上职称等相关情形）。</w:t>
      </w:r>
    </w:p>
    <w:p w14:paraId="65771E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12.危险化学品生产、经营企业主要负责人和安全生产管理</w:t>
      </w:r>
    </w:p>
    <w:p w14:paraId="7C5D154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人员未依法经考核合格。</w:t>
      </w:r>
    </w:p>
    <w:p w14:paraId="4B1A45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13. 涉及危险化工工艺的特种作业人员未取得特种作业操作证而上岗操作。</w:t>
      </w:r>
    </w:p>
    <w:p w14:paraId="55D002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14.使用纳入淘汰落后危险化学品安全生产工艺技术设备目录的工艺和设备。</w:t>
      </w:r>
    </w:p>
    <w:p w14:paraId="662374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15.企业未配备具备锁定、防脱落和脱落自封闭功能的液化烃充装设备设施。</w:t>
      </w:r>
    </w:p>
    <w:p w14:paraId="4D4829B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16. 涉及重点监管危险化工工艺的装置未实现自动化控制，系统未实现紧急停车功能，装备的自动化控制系统、紧急停车系统未投入使用。</w:t>
      </w:r>
    </w:p>
    <w:p w14:paraId="5226E5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17.爆炸危险场所未按国家标准安装使用防爆电气设备。</w:t>
      </w:r>
    </w:p>
    <w:p w14:paraId="6AED8A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18. 涉及可燃和有毒有害气体泄漏的场所未按国家标准要求设置检测报警装置；可燃和有毒气体检测报警系统未投用或处于非正常状态，长时间报警未处置。</w:t>
      </w:r>
    </w:p>
    <w:p w14:paraId="55610E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19.未制定动火、受限空间等特殊作业管理制度；特殊作业未履行许可手续；动火、受限空间作业未按规定进行气体分析；作业过程无人监护。</w:t>
      </w:r>
    </w:p>
    <w:p w14:paraId="5ABA5A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20.未对承包商的安全生产工作依法实施管理。</w:t>
      </w:r>
    </w:p>
    <w:p w14:paraId="0095B0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21.未按国家标准分区分类储存危险化学品，超量、超品种储存危险化学品，相互禁配物质混放混存。</w:t>
      </w:r>
    </w:p>
    <w:p w14:paraId="257299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22.企业危险化学品安全生产风险监测预警系统现场感知监测监控设备设施未正常运转。</w:t>
      </w:r>
    </w:p>
    <w:p w14:paraId="3DBE18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23.危险化学品生产、进口企业未依法办理危险化学品登记，未按规定办理登记变更手续等。</w:t>
      </w:r>
    </w:p>
    <w:p w14:paraId="1DFD71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24.危险化学品生产、经营企业未规范使用“一书一签”传递危险化学品危害信息情况。</w:t>
      </w:r>
    </w:p>
    <w:p w14:paraId="14E3DE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25.未建立并落实异常工况安全处置管理制度；异常工况现场处置时，同一部位进行交叉作业；无关人员进入现场处置危险区域；同一装置区内现场处置存在人员聚集。</w:t>
      </w:r>
    </w:p>
    <w:p w14:paraId="51DCBA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26. 涉及“两重点一重大”的生产装置、储存设施外部安全防护距离不符合国家标准要求。</w:t>
      </w:r>
    </w:p>
    <w:p w14:paraId="2304CA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27.危险化学品建设项目未经安全设施设计审查或者未按照批准的安全设施设计进行施工或者未经安全条件审查。</w:t>
      </w:r>
    </w:p>
    <w:p w14:paraId="019DEC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28.具有甲乙类火灾危险性、粉尘爆炸危险性、 中毒危险性的厂房（含装置或车间）和仓库内设置办公室、休息室、外操室、巡检室。</w:t>
      </w:r>
    </w:p>
    <w:p w14:paraId="0FF928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cs="Times New Roman"/>
          <w:color w:val="auto"/>
          <w:kern w:val="0"/>
          <w:sz w:val="32"/>
          <w:szCs w:val="32"/>
          <w:highlight w:val="none"/>
          <w:lang w:val="en-US" w:eastAsia="zh-CN"/>
        </w:rPr>
      </w:pPr>
      <w:r>
        <w:rPr>
          <w:rFonts w:hint="eastAsia" w:eastAsia="仿宋_GB2312" w:cs="Times New Roman"/>
          <w:color w:val="auto"/>
          <w:kern w:val="0"/>
          <w:sz w:val="32"/>
          <w:szCs w:val="32"/>
          <w:highlight w:val="none"/>
          <w:lang w:val="en-US" w:eastAsia="zh-CN"/>
        </w:rPr>
        <w:t>29.《鄂尔多斯市安全生产委员会办公室关于切实加强企业外包施工作业安全管理的通知》（鄂安办发〔2025〕67 号）相关内容。</w:t>
      </w:r>
    </w:p>
    <w:p w14:paraId="4CD4B1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eastAsia="仿宋_GB2312" w:cs="Times New Roman"/>
          <w:color w:val="auto"/>
          <w:kern w:val="0"/>
          <w:sz w:val="32"/>
          <w:szCs w:val="32"/>
          <w:highlight w:val="none"/>
          <w:lang w:val="en-US" w:eastAsia="zh-CN"/>
        </w:rPr>
      </w:pPr>
      <w:r>
        <w:rPr>
          <w:rFonts w:hint="eastAsia" w:eastAsia="仿宋_GB2312" w:cs="Times New Roman"/>
          <w:color w:val="auto"/>
          <w:kern w:val="0"/>
          <w:sz w:val="32"/>
          <w:szCs w:val="32"/>
          <w:highlight w:val="none"/>
          <w:lang w:val="en-US" w:eastAsia="zh-CN"/>
        </w:rPr>
        <w:t>30.《鄂尔多斯市应急管理局关于印发鄂尔多斯市危险化学品企业履行安全生产主体责任清单的通知》（鄂应急发〔2022〕117号）相关内容。</w:t>
      </w:r>
      <w:bookmarkStart w:id="2" w:name="_GoBack"/>
      <w:bookmarkEnd w:id="2"/>
    </w:p>
    <w:p w14:paraId="25C653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kern w:val="0"/>
          <w:sz w:val="32"/>
          <w:szCs w:val="32"/>
          <w:highlight w:val="none"/>
        </w:rPr>
      </w:pPr>
      <w:r>
        <w:rPr>
          <w:rFonts w:hint="eastAsia" w:ascii="黑体" w:hAnsi="黑体" w:eastAsia="黑体" w:cs="黑体"/>
          <w:color w:val="auto"/>
          <w:kern w:val="0"/>
          <w:sz w:val="32"/>
          <w:szCs w:val="32"/>
          <w:highlight w:val="none"/>
        </w:rPr>
        <w:t>二</w:t>
      </w:r>
      <w:r>
        <w:rPr>
          <w:rFonts w:hint="eastAsia" w:ascii="黑体" w:hAnsi="黑体" w:eastAsia="黑体" w:cs="黑体"/>
          <w:color w:val="auto"/>
          <w:kern w:val="0"/>
          <w:sz w:val="32"/>
          <w:szCs w:val="32"/>
          <w:highlight w:val="none"/>
          <w:lang w:eastAsia="zh-CN"/>
        </w:rPr>
        <w:t>、</w:t>
      </w:r>
      <w:r>
        <w:rPr>
          <w:rFonts w:hint="eastAsia" w:ascii="黑体" w:hAnsi="黑体" w:eastAsia="黑体" w:cs="黑体"/>
          <w:color w:val="auto"/>
          <w:kern w:val="0"/>
          <w:sz w:val="32"/>
          <w:szCs w:val="32"/>
          <w:highlight w:val="none"/>
        </w:rPr>
        <w:t>工贸企业</w:t>
      </w:r>
    </w:p>
    <w:p w14:paraId="2FA65B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1.企业安全基础管理情况。安全生产责任制、安全规章制度、安全操作规程的建立、完善和执行情况。安全管理机构设置、人员配备及安全投入情况。岗位人员安全教育培训，特种作业人员持证上岗，危险作业环节审批及监控等情况。</w:t>
      </w:r>
    </w:p>
    <w:p w14:paraId="53E8B8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2. 隐患排查治理情况。隐患排查治理制度的建立和落实情况，隐患整改销号等情况。</w:t>
      </w:r>
    </w:p>
    <w:p w14:paraId="65A48A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3.有限空间作业安全管理情况。按照《工贸企业有限空间作</w:t>
      </w:r>
    </w:p>
    <w:p w14:paraId="712B85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业安全管理与监督暂行规定》，有限空间安全管理相关制度、操作规程建立情况；有限空间辨识、建立有限空间管理台账、现场设置安全警示标志情况；相关人员培训情况；有限空间作业方案审批等情况。</w:t>
      </w:r>
    </w:p>
    <w:p w14:paraId="3885DF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4.开展典型案例警示教育情况。企业定期对员工开展典型案例警示教育工作情况。</w:t>
      </w:r>
    </w:p>
    <w:p w14:paraId="039A18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kern w:val="2"/>
          <w:sz w:val="32"/>
          <w:szCs w:val="32"/>
          <w:highlight w:val="none"/>
          <w:lang w:val="en-US" w:eastAsia="zh-CN" w:bidi="ar-SA"/>
        </w:rPr>
      </w:pPr>
      <w:r>
        <w:rPr>
          <w:rFonts w:hint="eastAsia" w:eastAsia="黑体" w:cs="Times New Roman"/>
          <w:color w:val="auto"/>
          <w:kern w:val="2"/>
          <w:sz w:val="32"/>
          <w:szCs w:val="32"/>
          <w:highlight w:val="none"/>
          <w:lang w:val="en-US" w:eastAsia="zh-CN" w:bidi="ar-SA"/>
        </w:rPr>
        <w:t>三</w:t>
      </w:r>
      <w:r>
        <w:rPr>
          <w:rFonts w:hint="default" w:ascii="Times New Roman" w:hAnsi="Times New Roman" w:eastAsia="黑体" w:cs="Times New Roman"/>
          <w:color w:val="auto"/>
          <w:kern w:val="2"/>
          <w:sz w:val="32"/>
          <w:szCs w:val="32"/>
          <w:highlight w:val="none"/>
          <w:lang w:val="en-US" w:eastAsia="zh-CN" w:bidi="ar-SA"/>
        </w:rPr>
        <w:t>、陆上石油天然气开采企业</w:t>
      </w:r>
    </w:p>
    <w:p w14:paraId="02051E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楷体_GB2312" w:cs="Times New Roman"/>
          <w:color w:val="auto"/>
          <w:kern w:val="0"/>
          <w:sz w:val="32"/>
          <w:szCs w:val="32"/>
          <w:highlight w:val="none"/>
          <w:lang w:val="en-US"/>
        </w:rPr>
        <w:t>1、</w:t>
      </w:r>
      <w:r>
        <w:rPr>
          <w:rFonts w:hint="default" w:ascii="Times New Roman" w:hAnsi="Times New Roman" w:eastAsia="楷体_GB2312" w:cs="Times New Roman"/>
          <w:color w:val="auto"/>
          <w:kern w:val="0"/>
          <w:sz w:val="32"/>
          <w:szCs w:val="32"/>
          <w:highlight w:val="none"/>
        </w:rPr>
        <w:t>企业安全基础管理情况。</w:t>
      </w:r>
      <w:r>
        <w:rPr>
          <w:rFonts w:hint="default" w:ascii="Times New Roman" w:hAnsi="Times New Roman" w:eastAsia="仿宋_GB2312" w:cs="Times New Roman"/>
          <w:color w:val="auto"/>
          <w:kern w:val="0"/>
          <w:sz w:val="32"/>
          <w:szCs w:val="32"/>
          <w:highlight w:val="none"/>
        </w:rPr>
        <w:t>《安全生产许可证》取证情况，主要负责人、安全管理人员考核合格情况。安全生产责任制、安全规章制度、安全操作规程的建立、完善和执行情况。安全管理机构设置、人员配备及安全投入情况。岗位人员安全教育培训，特种作业人员持证上岗，危险作业环节审批及监控情况。外包单位安全管理情况；安全设备的安装、使用、检测、维修是否符合国家标准或行业标准的情况。企业在有较大危险因素的生产经营场所和有关设施、设备上设置明显的安全警示标志情况。</w:t>
      </w:r>
    </w:p>
    <w:p w14:paraId="616041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楷体_GB2312" w:cs="Times New Roman"/>
          <w:color w:val="auto"/>
          <w:kern w:val="0"/>
          <w:sz w:val="32"/>
          <w:szCs w:val="32"/>
          <w:highlight w:val="none"/>
          <w:lang w:val="en-US"/>
        </w:rPr>
        <w:t>2、</w:t>
      </w:r>
      <w:r>
        <w:rPr>
          <w:rFonts w:hint="default" w:ascii="Times New Roman" w:hAnsi="Times New Roman" w:eastAsia="楷体_GB2312" w:cs="Times New Roman"/>
          <w:color w:val="auto"/>
          <w:kern w:val="0"/>
          <w:sz w:val="32"/>
          <w:szCs w:val="32"/>
          <w:highlight w:val="none"/>
        </w:rPr>
        <w:t>隐患排查治理情况。</w:t>
      </w:r>
      <w:r>
        <w:rPr>
          <w:rFonts w:hint="default" w:ascii="Times New Roman" w:hAnsi="Times New Roman" w:eastAsia="仿宋_GB2312" w:cs="Times New Roman"/>
          <w:color w:val="auto"/>
          <w:kern w:val="0"/>
          <w:sz w:val="32"/>
          <w:szCs w:val="32"/>
          <w:highlight w:val="none"/>
        </w:rPr>
        <w:t>隐患排查治理制度的建立和落实情况，隐患整改销号情况。</w:t>
      </w:r>
    </w:p>
    <w:p w14:paraId="1D4AD4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楷体_GB2312" w:cs="Times New Roman"/>
          <w:color w:val="auto"/>
          <w:kern w:val="0"/>
          <w:sz w:val="32"/>
          <w:szCs w:val="32"/>
          <w:highlight w:val="none"/>
          <w:lang w:val="en-US"/>
        </w:rPr>
        <w:t>3、</w:t>
      </w:r>
      <w:r>
        <w:rPr>
          <w:rFonts w:hint="default" w:ascii="Times New Roman" w:hAnsi="Times New Roman" w:eastAsia="楷体_GB2312" w:cs="Times New Roman"/>
          <w:color w:val="auto"/>
          <w:kern w:val="0"/>
          <w:sz w:val="32"/>
          <w:szCs w:val="32"/>
          <w:highlight w:val="none"/>
        </w:rPr>
        <w:t>物探、钻井、测井、录井、井下作业等作业过程安全措施落实情况。</w:t>
      </w:r>
      <w:r>
        <w:rPr>
          <w:rFonts w:hint="default" w:ascii="Times New Roman" w:hAnsi="Times New Roman" w:eastAsia="仿宋_GB2312" w:cs="Times New Roman"/>
          <w:color w:val="auto"/>
          <w:kern w:val="0"/>
          <w:sz w:val="32"/>
          <w:szCs w:val="32"/>
          <w:highlight w:val="none"/>
        </w:rPr>
        <w:t>作业场地、宿营地的选址和布局是否充分考虑洪水、泥石流、滑坡等自然灾害的影响，并符合防火、防爆、防中毒等安全要求；钻修设备搬迁、拆装作业是否有序合规；爆炸品、放射源的存放、运输和使用是否合规；是否建立健全并落实各项井控管理制度；是否按设计要求安装井控装置，并按规定进行安装、试压、使用和管理。</w:t>
      </w:r>
    </w:p>
    <w:p w14:paraId="685E3D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楷体_GB2312" w:cs="Times New Roman"/>
          <w:color w:val="auto"/>
          <w:kern w:val="0"/>
          <w:sz w:val="32"/>
          <w:szCs w:val="32"/>
          <w:highlight w:val="none"/>
          <w:lang w:val="en-US"/>
        </w:rPr>
        <w:t>4、</w:t>
      </w:r>
      <w:r>
        <w:rPr>
          <w:rFonts w:hint="default" w:ascii="Times New Roman" w:hAnsi="Times New Roman" w:eastAsia="楷体_GB2312" w:cs="Times New Roman"/>
          <w:color w:val="auto"/>
          <w:kern w:val="0"/>
          <w:sz w:val="32"/>
          <w:szCs w:val="32"/>
          <w:highlight w:val="none"/>
        </w:rPr>
        <w:t>油气生产安全措施落实情况。</w:t>
      </w:r>
      <w:r>
        <w:rPr>
          <w:rFonts w:hint="default" w:ascii="Times New Roman" w:hAnsi="Times New Roman" w:eastAsia="仿宋_GB2312" w:cs="Times New Roman"/>
          <w:color w:val="auto"/>
          <w:kern w:val="0"/>
          <w:sz w:val="32"/>
          <w:szCs w:val="32"/>
          <w:highlight w:val="none"/>
        </w:rPr>
        <w:t>油气生产的各类井、站场总平面布置和生产工艺是否符合安全标准和规范要求；油气计量、油气外输等油气处理生产现场和设备设施是否采取防火防爆、防超压、防雷击等安全措施等。</w:t>
      </w:r>
    </w:p>
    <w:p w14:paraId="7E3A4E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楷体_GB2312" w:cs="Times New Roman"/>
          <w:color w:val="auto"/>
          <w:kern w:val="0"/>
          <w:sz w:val="32"/>
          <w:szCs w:val="32"/>
          <w:highlight w:val="none"/>
          <w:lang w:val="en-US"/>
        </w:rPr>
        <w:t>5、</w:t>
      </w:r>
      <w:r>
        <w:rPr>
          <w:rFonts w:hint="default" w:ascii="Times New Roman" w:hAnsi="Times New Roman" w:eastAsia="楷体_GB2312" w:cs="Times New Roman"/>
          <w:color w:val="auto"/>
          <w:kern w:val="0"/>
          <w:sz w:val="32"/>
          <w:szCs w:val="32"/>
          <w:highlight w:val="none"/>
        </w:rPr>
        <w:t>场站安全管理情况。</w:t>
      </w:r>
      <w:r>
        <w:rPr>
          <w:rFonts w:hint="default" w:ascii="Times New Roman" w:hAnsi="Times New Roman" w:eastAsia="仿宋_GB2312" w:cs="Times New Roman"/>
          <w:color w:val="auto"/>
          <w:kern w:val="0"/>
          <w:sz w:val="32"/>
          <w:szCs w:val="32"/>
          <w:highlight w:val="none"/>
        </w:rPr>
        <w:t>进出场站是否按照要求设置紧急截断阀；进出场站、压缩机房天然气管道是否按要求接地；场站内应急通道是否畅通，应急逃生门、应急指示标识设置是否满足要求；应急物资储备是否满足配备要求并处于完好状态；警示标识是否按要求设置。</w:t>
      </w:r>
    </w:p>
    <w:p w14:paraId="0E953B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楷体_GB2312" w:cs="Times New Roman"/>
          <w:color w:val="auto"/>
          <w:kern w:val="0"/>
          <w:sz w:val="32"/>
          <w:szCs w:val="32"/>
          <w:highlight w:val="none"/>
          <w:lang w:val="en-US"/>
        </w:rPr>
        <w:t>6、</w:t>
      </w:r>
      <w:r>
        <w:rPr>
          <w:rFonts w:hint="default" w:ascii="Times New Roman" w:hAnsi="Times New Roman" w:eastAsia="楷体_GB2312" w:cs="Times New Roman"/>
          <w:color w:val="auto"/>
          <w:kern w:val="0"/>
          <w:sz w:val="32"/>
          <w:szCs w:val="32"/>
          <w:highlight w:val="none"/>
        </w:rPr>
        <w:t>特种设备管理情况。</w:t>
      </w:r>
      <w:r>
        <w:rPr>
          <w:rFonts w:hint="default" w:ascii="Times New Roman" w:hAnsi="Times New Roman" w:eastAsia="仿宋_GB2312" w:cs="Times New Roman"/>
          <w:color w:val="auto"/>
          <w:kern w:val="0"/>
          <w:sz w:val="32"/>
          <w:szCs w:val="32"/>
          <w:highlight w:val="none"/>
        </w:rPr>
        <w:t>压力容器、压力管道、锅炉是否进行登记注册，是否按要求开展定期检验和年度自检，存在</w:t>
      </w:r>
      <w:r>
        <w:rPr>
          <w:rFonts w:hint="eastAsia" w:ascii="Times New Roman" w:hAnsi="Times New Roman" w:eastAsia="仿宋_GB2312" w:cs="Times New Roman"/>
          <w:color w:val="auto"/>
          <w:kern w:val="0"/>
          <w:sz w:val="32"/>
          <w:szCs w:val="32"/>
          <w:highlight w:val="none"/>
          <w:u w:val="none"/>
          <w:lang w:val="en-US" w:eastAsia="zh-CN"/>
        </w:rPr>
        <w:t>隐患</w:t>
      </w:r>
      <w:r>
        <w:rPr>
          <w:rFonts w:hint="default" w:ascii="Times New Roman" w:hAnsi="Times New Roman" w:eastAsia="仿宋_GB2312" w:cs="Times New Roman"/>
          <w:color w:val="auto"/>
          <w:kern w:val="0"/>
          <w:sz w:val="32"/>
          <w:szCs w:val="32"/>
          <w:highlight w:val="none"/>
        </w:rPr>
        <w:t>是否及时进行整改；安全阀、压力表等安全附件是否定期检校验并正常投运；厂内机动车、电梯等是否定期检验、安全制动设备是否满足灵活可靠。</w:t>
      </w:r>
    </w:p>
    <w:p w14:paraId="031C7F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楷体_GB2312" w:cs="Times New Roman"/>
          <w:color w:val="auto"/>
          <w:kern w:val="0"/>
          <w:sz w:val="32"/>
          <w:szCs w:val="32"/>
          <w:highlight w:val="none"/>
          <w:lang w:val="en-US"/>
        </w:rPr>
        <w:t>7、</w:t>
      </w:r>
      <w:r>
        <w:rPr>
          <w:rFonts w:hint="default" w:ascii="Times New Roman" w:hAnsi="Times New Roman" w:eastAsia="楷体_GB2312" w:cs="Times New Roman"/>
          <w:color w:val="auto"/>
          <w:kern w:val="0"/>
          <w:sz w:val="32"/>
          <w:szCs w:val="32"/>
          <w:highlight w:val="none"/>
        </w:rPr>
        <w:t>防火防爆管理情况。</w:t>
      </w:r>
      <w:r>
        <w:rPr>
          <w:rFonts w:hint="default" w:ascii="Times New Roman" w:hAnsi="Times New Roman" w:eastAsia="仿宋_GB2312" w:cs="Times New Roman"/>
          <w:color w:val="auto"/>
          <w:kern w:val="0"/>
          <w:sz w:val="32"/>
          <w:szCs w:val="32"/>
          <w:highlight w:val="none"/>
        </w:rPr>
        <w:t>安全管理制度中是否对防火防爆、防雷防静电进行要求；场站设计、布局和防火间距是否符合设计规范；控制室、机柜间、值班室等人员值守的场所设在输油泵房、计量间、压缩机房等火灾危险性为甲、乙类的厂房内，油气站场集中</w:t>
      </w:r>
      <w:r>
        <w:rPr>
          <w:rFonts w:hint="eastAsia"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中央</w:t>
      </w:r>
      <w:r>
        <w:rPr>
          <w:rFonts w:hint="eastAsia"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控制室等面向具有火灾、爆炸危险</w:t>
      </w:r>
      <w:r>
        <w:rPr>
          <w:rFonts w:hint="eastAsia" w:eastAsia="仿宋_GB2312" w:cs="Times New Roman"/>
          <w:color w:val="auto"/>
          <w:kern w:val="0"/>
          <w:sz w:val="32"/>
          <w:szCs w:val="32"/>
          <w:highlight w:val="none"/>
          <w:lang w:eastAsia="zh-CN"/>
        </w:rPr>
        <w:t>性的</w:t>
      </w:r>
      <w:r>
        <w:rPr>
          <w:rFonts w:hint="default" w:ascii="Times New Roman" w:hAnsi="Times New Roman" w:eastAsia="仿宋_GB2312" w:cs="Times New Roman"/>
          <w:color w:val="auto"/>
          <w:kern w:val="0"/>
          <w:sz w:val="32"/>
          <w:szCs w:val="32"/>
          <w:highlight w:val="none"/>
        </w:rPr>
        <w:t>装置一侧设置门窗、洞口；防雷防静电设计、安装是否符合相关技术标准，场站进口、装置区进口、装卸油设备设施、转油泵房、储罐区等是否按要求设置静电释放器等静电消除设备；防爆电气是否满足所在区域防爆等级要求；是否定期开展防雷防接地检测并对不合格点进行及时整改。</w:t>
      </w:r>
    </w:p>
    <w:p w14:paraId="322513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楷体_GB2312" w:cs="Times New Roman"/>
          <w:color w:val="auto"/>
          <w:kern w:val="0"/>
          <w:sz w:val="32"/>
          <w:szCs w:val="32"/>
          <w:highlight w:val="none"/>
          <w:lang w:val="en-US"/>
        </w:rPr>
        <w:t>8、</w:t>
      </w:r>
      <w:r>
        <w:rPr>
          <w:rFonts w:hint="default" w:ascii="Times New Roman" w:hAnsi="Times New Roman" w:eastAsia="楷体_GB2312" w:cs="Times New Roman"/>
          <w:color w:val="auto"/>
          <w:kern w:val="0"/>
          <w:sz w:val="32"/>
          <w:szCs w:val="32"/>
          <w:highlight w:val="none"/>
        </w:rPr>
        <w:t>含硫井、含硫场站管理情况。</w:t>
      </w:r>
      <w:r>
        <w:rPr>
          <w:rFonts w:hint="default" w:ascii="Times New Roman" w:hAnsi="Times New Roman" w:eastAsia="仿宋_GB2312" w:cs="Times New Roman"/>
          <w:color w:val="auto"/>
          <w:kern w:val="0"/>
          <w:sz w:val="32"/>
          <w:szCs w:val="32"/>
          <w:highlight w:val="none"/>
        </w:rPr>
        <w:t>进入含硫场所人员是否接受硫化氢知识培训并取得培训合格证，含硫管道设备是否采用抗硫材质，含硫场所气体检测、应急防护设备是否按要求配备，是否定期组织员工开展应急演练。</w:t>
      </w:r>
    </w:p>
    <w:p w14:paraId="28C23B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楷体_GB2312" w:cs="Times New Roman"/>
          <w:color w:val="auto"/>
          <w:kern w:val="0"/>
          <w:sz w:val="32"/>
          <w:szCs w:val="32"/>
          <w:highlight w:val="none"/>
          <w:lang w:val="en-US"/>
        </w:rPr>
        <w:t>9、</w:t>
      </w:r>
      <w:r>
        <w:rPr>
          <w:rFonts w:hint="default" w:ascii="Times New Roman" w:hAnsi="Times New Roman" w:eastAsia="楷体_GB2312" w:cs="Times New Roman"/>
          <w:color w:val="auto"/>
          <w:kern w:val="0"/>
          <w:sz w:val="32"/>
          <w:szCs w:val="32"/>
          <w:highlight w:val="none"/>
        </w:rPr>
        <w:t>承包商管理情况。</w:t>
      </w:r>
      <w:r>
        <w:rPr>
          <w:rFonts w:hint="default" w:ascii="Times New Roman" w:hAnsi="Times New Roman" w:eastAsia="仿宋_GB2312" w:cs="Times New Roman"/>
          <w:color w:val="auto"/>
          <w:kern w:val="0"/>
          <w:sz w:val="32"/>
          <w:szCs w:val="32"/>
          <w:highlight w:val="none"/>
        </w:rPr>
        <w:t>承包商是否具备相应资质，是否按规定签订安全生产管理协议，承包商员工是否取得相应资质；承包方关键岗位是否满足在岗要求；两个及以上生产经营单位在同一作业区域内作业是否按要求管理。</w:t>
      </w:r>
    </w:p>
    <w:p w14:paraId="7AA514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kern w:val="2"/>
          <w:sz w:val="32"/>
          <w:szCs w:val="32"/>
          <w:highlight w:val="none"/>
        </w:rPr>
      </w:pPr>
      <w:r>
        <w:rPr>
          <w:rFonts w:hint="eastAsia" w:eastAsia="黑体" w:cs="Times New Roman"/>
          <w:color w:val="auto"/>
          <w:kern w:val="2"/>
          <w:sz w:val="32"/>
          <w:szCs w:val="32"/>
          <w:highlight w:val="none"/>
          <w:lang w:val="en-US" w:eastAsia="zh-CN"/>
        </w:rPr>
        <w:t>四</w:t>
      </w:r>
      <w:r>
        <w:rPr>
          <w:rFonts w:hint="default" w:ascii="Times New Roman" w:hAnsi="Times New Roman" w:eastAsia="黑体" w:cs="Times New Roman"/>
          <w:color w:val="auto"/>
          <w:kern w:val="2"/>
          <w:sz w:val="32"/>
          <w:szCs w:val="32"/>
          <w:highlight w:val="none"/>
          <w:lang w:val="en-US" w:eastAsia="zh-CN"/>
        </w:rPr>
        <w:t>、</w:t>
      </w:r>
      <w:r>
        <w:rPr>
          <w:rFonts w:hint="default" w:ascii="Times New Roman" w:hAnsi="Times New Roman" w:eastAsia="黑体" w:cs="Times New Roman"/>
          <w:color w:val="auto"/>
          <w:kern w:val="2"/>
          <w:sz w:val="32"/>
          <w:szCs w:val="32"/>
          <w:highlight w:val="none"/>
        </w:rPr>
        <w:t>烟花爆竹企业</w:t>
      </w:r>
    </w:p>
    <w:p w14:paraId="615AAC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楷体_GB2312" w:cs="Times New Roman"/>
          <w:color w:val="auto"/>
          <w:kern w:val="2"/>
          <w:sz w:val="32"/>
          <w:szCs w:val="32"/>
          <w:highlight w:val="none"/>
          <w:lang w:val="en-US"/>
        </w:rPr>
        <w:t>1、</w:t>
      </w:r>
      <w:r>
        <w:rPr>
          <w:rFonts w:hint="default" w:ascii="Times New Roman" w:hAnsi="Times New Roman" w:eastAsia="楷体_GB2312" w:cs="Times New Roman"/>
          <w:color w:val="auto"/>
          <w:kern w:val="2"/>
          <w:sz w:val="32"/>
          <w:szCs w:val="32"/>
          <w:highlight w:val="none"/>
        </w:rPr>
        <w:t>企业安全基础管理情况。</w:t>
      </w:r>
      <w:r>
        <w:rPr>
          <w:rFonts w:hint="default" w:ascii="Times New Roman" w:hAnsi="Times New Roman" w:eastAsia="仿宋_GB2312" w:cs="Times New Roman"/>
          <w:color w:val="auto"/>
          <w:kern w:val="2"/>
          <w:sz w:val="32"/>
          <w:szCs w:val="32"/>
          <w:highlight w:val="none"/>
        </w:rPr>
        <w:t>《烟花爆竹经营许可证》取证情况，主要负责人、安全管理人员考核合格情况。安全生产责任制、安全规章制度、安全操作规程的建立、完善和执行情况。安全生产费用提取和使用情况。岗位人员安全教育培训，特种作业人员持证上岗情况。应急预案编制和演练情况。</w:t>
      </w:r>
    </w:p>
    <w:p w14:paraId="1B837A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楷体_GB2312" w:cs="Times New Roman"/>
          <w:color w:val="auto"/>
          <w:kern w:val="2"/>
          <w:sz w:val="32"/>
          <w:szCs w:val="32"/>
          <w:highlight w:val="none"/>
          <w:lang w:val="en-US"/>
        </w:rPr>
        <w:t>2、</w:t>
      </w:r>
      <w:r>
        <w:rPr>
          <w:rFonts w:hint="default" w:ascii="Times New Roman" w:hAnsi="Times New Roman" w:eastAsia="楷体_GB2312" w:cs="Times New Roman"/>
          <w:color w:val="auto"/>
          <w:kern w:val="2"/>
          <w:sz w:val="32"/>
          <w:szCs w:val="32"/>
          <w:highlight w:val="none"/>
        </w:rPr>
        <w:t>隐患排查治理情况。</w:t>
      </w:r>
      <w:r>
        <w:rPr>
          <w:rFonts w:hint="default" w:ascii="Times New Roman" w:hAnsi="Times New Roman" w:eastAsia="仿宋_GB2312" w:cs="Times New Roman"/>
          <w:color w:val="auto"/>
          <w:kern w:val="2"/>
          <w:sz w:val="32"/>
          <w:szCs w:val="32"/>
          <w:highlight w:val="none"/>
        </w:rPr>
        <w:t>隐患排查治理制度的建立和落实情况，隐患整改销号情况。</w:t>
      </w:r>
    </w:p>
    <w:p w14:paraId="3C3547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楷体_GB2312" w:cs="Times New Roman"/>
          <w:color w:val="auto"/>
          <w:kern w:val="2"/>
          <w:sz w:val="32"/>
          <w:szCs w:val="32"/>
          <w:highlight w:val="none"/>
          <w:lang w:val="en-US"/>
        </w:rPr>
        <w:t>3、</w:t>
      </w:r>
      <w:r>
        <w:rPr>
          <w:rFonts w:hint="default" w:ascii="Times New Roman" w:hAnsi="Times New Roman" w:eastAsia="楷体_GB2312" w:cs="Times New Roman"/>
          <w:color w:val="auto"/>
          <w:kern w:val="2"/>
          <w:sz w:val="32"/>
          <w:szCs w:val="32"/>
          <w:highlight w:val="none"/>
        </w:rPr>
        <w:t>采购和销售管理情况。</w:t>
      </w:r>
      <w:r>
        <w:rPr>
          <w:rFonts w:hint="default" w:ascii="Times New Roman" w:hAnsi="Times New Roman" w:eastAsia="仿宋_GB2312" w:cs="Times New Roman"/>
          <w:color w:val="auto"/>
          <w:kern w:val="2"/>
          <w:sz w:val="32"/>
          <w:szCs w:val="32"/>
          <w:highlight w:val="none"/>
        </w:rPr>
        <w:t>是否存在采购和销售非法生产、经营的烟花爆竹或产品质量不符合标准规定的烟花爆竹的行为，是否销售应当由专业燃放人员燃放的烟花爆竹。销售的烟花爆竹包装、标志应当符合国家标准或者行业标准的规定。</w:t>
      </w:r>
    </w:p>
    <w:p w14:paraId="2DE91D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楷体_GB2312" w:cs="Times New Roman"/>
          <w:color w:val="auto"/>
          <w:kern w:val="2"/>
          <w:sz w:val="32"/>
          <w:szCs w:val="32"/>
          <w:highlight w:val="none"/>
          <w:lang w:val="en-US"/>
        </w:rPr>
        <w:t>4、</w:t>
      </w:r>
      <w:r>
        <w:rPr>
          <w:rFonts w:hint="default" w:ascii="Times New Roman" w:hAnsi="Times New Roman" w:eastAsia="楷体_GB2312" w:cs="Times New Roman"/>
          <w:color w:val="auto"/>
          <w:kern w:val="2"/>
          <w:sz w:val="32"/>
          <w:szCs w:val="32"/>
          <w:highlight w:val="none"/>
        </w:rPr>
        <w:t>合同管理、产品流向管理情况。</w:t>
      </w:r>
      <w:r>
        <w:rPr>
          <w:rFonts w:hint="default" w:ascii="Times New Roman" w:hAnsi="Times New Roman" w:eastAsia="仿宋_GB2312" w:cs="Times New Roman"/>
          <w:color w:val="auto"/>
          <w:kern w:val="2"/>
          <w:sz w:val="32"/>
          <w:szCs w:val="32"/>
          <w:highlight w:val="none"/>
        </w:rPr>
        <w:t>是否建立买卖合同管理制度、流向管理制度。在烟花爆竹购销活动中，是否签订规范的烟花爆竹买卖合同，是否使用全国统一的烟花爆竹流向管理信息系统，如实登记烟花爆竹流向。购进烟花爆竹时，是否查验流向登记标签，并在产品入库和销售出库时登记录入。</w:t>
      </w:r>
    </w:p>
    <w:p w14:paraId="5B2C75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楷体_GB2312" w:cs="Times New Roman"/>
          <w:color w:val="auto"/>
          <w:kern w:val="2"/>
          <w:sz w:val="32"/>
          <w:szCs w:val="32"/>
          <w:highlight w:val="none"/>
          <w:lang w:val="en-US"/>
        </w:rPr>
        <w:t>5、</w:t>
      </w:r>
      <w:r>
        <w:rPr>
          <w:rFonts w:hint="default" w:ascii="Times New Roman" w:hAnsi="Times New Roman" w:eastAsia="楷体_GB2312" w:cs="Times New Roman"/>
          <w:color w:val="auto"/>
          <w:kern w:val="2"/>
          <w:sz w:val="32"/>
          <w:szCs w:val="32"/>
          <w:highlight w:val="none"/>
        </w:rPr>
        <w:t>储存安全管理情况。</w:t>
      </w:r>
      <w:r>
        <w:rPr>
          <w:rFonts w:hint="default" w:ascii="Times New Roman" w:hAnsi="Times New Roman" w:eastAsia="仿宋_GB2312" w:cs="Times New Roman"/>
          <w:color w:val="auto"/>
          <w:kern w:val="2"/>
          <w:sz w:val="32"/>
          <w:szCs w:val="32"/>
          <w:highlight w:val="none"/>
        </w:rPr>
        <w:t>是否在烟花爆竹经营许可证载明的储存场所以外储存烟花爆竹；烟花爆竹仓库储存的烟花爆竹品种、规格和数量，是否超过国家标准或者行业标准规定的危险等级和核定限量。仓库内烟花爆竹堆垛是否符合标准要求。储存场所消防器材等安全设施配备是否符合标准规范。</w:t>
      </w:r>
    </w:p>
    <w:p w14:paraId="253780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楷体_GB2312" w:cs="Times New Roman"/>
          <w:color w:val="auto"/>
          <w:kern w:val="2"/>
          <w:sz w:val="32"/>
          <w:szCs w:val="32"/>
          <w:highlight w:val="none"/>
          <w:lang w:val="en-US"/>
        </w:rPr>
        <w:t>6、</w:t>
      </w:r>
      <w:r>
        <w:rPr>
          <w:rFonts w:hint="default" w:ascii="Times New Roman" w:hAnsi="Times New Roman" w:eastAsia="楷体_GB2312" w:cs="Times New Roman"/>
          <w:color w:val="auto"/>
          <w:kern w:val="2"/>
          <w:sz w:val="32"/>
          <w:szCs w:val="32"/>
          <w:highlight w:val="none"/>
        </w:rPr>
        <w:t>废弃产品销毁管理。</w:t>
      </w:r>
      <w:r>
        <w:rPr>
          <w:rFonts w:hint="default" w:ascii="Times New Roman" w:hAnsi="Times New Roman" w:eastAsia="仿宋_GB2312" w:cs="Times New Roman"/>
          <w:color w:val="auto"/>
          <w:kern w:val="2"/>
          <w:sz w:val="32"/>
          <w:szCs w:val="32"/>
          <w:highlight w:val="none"/>
        </w:rPr>
        <w:t>对非法生产、假冒伪劣、过期、含有违禁药物以及其他存在严重质量问题的烟花爆竹，是否及时、妥善销毁。</w:t>
      </w:r>
    </w:p>
    <w:p w14:paraId="077A20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楷体_GB2312" w:cs="Times New Roman"/>
          <w:color w:val="auto"/>
          <w:kern w:val="2"/>
          <w:sz w:val="32"/>
          <w:szCs w:val="32"/>
          <w:highlight w:val="none"/>
          <w:lang w:val="en-US"/>
        </w:rPr>
        <w:t>7、</w:t>
      </w:r>
      <w:r>
        <w:rPr>
          <w:rFonts w:hint="default" w:ascii="Times New Roman" w:hAnsi="Times New Roman" w:eastAsia="楷体_GB2312" w:cs="Times New Roman"/>
          <w:color w:val="auto"/>
          <w:kern w:val="2"/>
          <w:sz w:val="32"/>
          <w:szCs w:val="32"/>
          <w:highlight w:val="none"/>
        </w:rPr>
        <w:t>安全生产标志标识管理。</w:t>
      </w:r>
      <w:r>
        <w:rPr>
          <w:rFonts w:hint="default" w:ascii="Times New Roman" w:hAnsi="Times New Roman" w:eastAsia="仿宋_GB2312" w:cs="Times New Roman"/>
          <w:color w:val="auto"/>
          <w:kern w:val="2"/>
          <w:sz w:val="32"/>
          <w:szCs w:val="32"/>
          <w:highlight w:val="none"/>
        </w:rPr>
        <w:t>仓库区、库房是否按照《烟花爆竹安全生产标志》（AQ4114）等标准规范的规定设置明显的安全警示标志；库房是否设置准确、清晰、醒目的定员、定量、定级标识。</w:t>
      </w:r>
    </w:p>
    <w:p w14:paraId="69EBCF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楷体_GB2312" w:cs="Times New Roman"/>
          <w:color w:val="auto"/>
          <w:kern w:val="2"/>
          <w:sz w:val="32"/>
          <w:szCs w:val="32"/>
          <w:highlight w:val="none"/>
          <w:lang w:val="en-US"/>
        </w:rPr>
        <w:t>8、</w:t>
      </w:r>
      <w:r>
        <w:rPr>
          <w:rFonts w:hint="default" w:ascii="Times New Roman" w:hAnsi="Times New Roman" w:eastAsia="楷体_GB2312" w:cs="Times New Roman"/>
          <w:color w:val="auto"/>
          <w:kern w:val="2"/>
          <w:sz w:val="32"/>
          <w:szCs w:val="32"/>
          <w:highlight w:val="none"/>
        </w:rPr>
        <w:t>人员、车辆出入库管理。</w:t>
      </w:r>
      <w:r>
        <w:rPr>
          <w:rFonts w:hint="default" w:ascii="Times New Roman" w:hAnsi="Times New Roman" w:eastAsia="仿宋_GB2312" w:cs="Times New Roman"/>
          <w:color w:val="auto"/>
          <w:kern w:val="2"/>
          <w:sz w:val="32"/>
          <w:szCs w:val="32"/>
          <w:highlight w:val="none"/>
        </w:rPr>
        <w:t>是否建立从业人员、外来人员、车辆进出厂（库）区登记制度，对进出厂（库）区的从业人员、外来人员、车辆如实登记记录，随时掌握厂（库）区人员和车辆的情况。是否存在未安装阻火装置等不符合国家标准或者行业标准规定安全条件的机动车辆进入仓库区的情况。</w:t>
      </w:r>
    </w:p>
    <w:p w14:paraId="3574A2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楷体_GB2312" w:cs="Times New Roman"/>
          <w:color w:val="auto"/>
          <w:kern w:val="2"/>
          <w:sz w:val="32"/>
          <w:szCs w:val="32"/>
          <w:highlight w:val="none"/>
          <w:lang w:val="en-US"/>
        </w:rPr>
        <w:t>9、</w:t>
      </w:r>
      <w:r>
        <w:rPr>
          <w:rFonts w:hint="default" w:ascii="Times New Roman" w:hAnsi="Times New Roman" w:eastAsia="楷体_GB2312" w:cs="Times New Roman"/>
          <w:color w:val="auto"/>
          <w:kern w:val="2"/>
          <w:sz w:val="32"/>
          <w:szCs w:val="32"/>
          <w:highlight w:val="none"/>
        </w:rPr>
        <w:t>作业安全管理情况。</w:t>
      </w:r>
      <w:r>
        <w:rPr>
          <w:rFonts w:hint="default" w:ascii="Times New Roman" w:hAnsi="Times New Roman" w:eastAsia="仿宋_GB2312" w:cs="Times New Roman"/>
          <w:color w:val="auto"/>
          <w:kern w:val="2"/>
          <w:sz w:val="32"/>
          <w:szCs w:val="32"/>
          <w:highlight w:val="none"/>
        </w:rPr>
        <w:t>是否采取安全监控、巡查检查等措施，及时发现、纠正违反安全操作规程和规章制度的行为。是否存在超员作业的行为。</w:t>
      </w:r>
    </w:p>
    <w:p w14:paraId="4D9566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楷体_GB2312" w:cs="Times New Roman"/>
          <w:color w:val="auto"/>
          <w:kern w:val="2"/>
          <w:sz w:val="32"/>
          <w:szCs w:val="32"/>
          <w:highlight w:val="none"/>
          <w:lang w:val="en-US"/>
        </w:rPr>
        <w:t>10、</w:t>
      </w:r>
      <w:r>
        <w:rPr>
          <w:rFonts w:hint="default" w:ascii="Times New Roman" w:hAnsi="Times New Roman" w:eastAsia="楷体_GB2312" w:cs="Times New Roman"/>
          <w:color w:val="auto"/>
          <w:kern w:val="2"/>
          <w:sz w:val="32"/>
          <w:szCs w:val="32"/>
          <w:highlight w:val="none"/>
        </w:rPr>
        <w:t>配送管理情况。</w:t>
      </w:r>
      <w:r>
        <w:rPr>
          <w:rFonts w:hint="default" w:ascii="Times New Roman" w:hAnsi="Times New Roman" w:eastAsia="仿宋_GB2312" w:cs="Times New Roman"/>
          <w:color w:val="auto"/>
          <w:kern w:val="2"/>
          <w:sz w:val="32"/>
          <w:szCs w:val="32"/>
          <w:highlight w:val="none"/>
        </w:rPr>
        <w:t>是否具备与其经营规模相适应的配送服务能力，是否按规定向零售经营者提供配送服务，是否存在零售经营者到企业仓库自行提取烟花爆竹的行为。</w:t>
      </w:r>
    </w:p>
    <w:bookmarkEnd w:id="0"/>
    <w:bookmarkEnd w:id="1"/>
    <w:p w14:paraId="04610610">
      <w:pPr>
        <w:pStyle w:val="15"/>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hint="eastAsia" w:ascii="Times New Roman" w:hAnsi="Times New Roman" w:eastAsia="仿宋_GB2312" w:cs="Times New Roman"/>
          <w:color w:val="auto"/>
          <w:kern w:val="2"/>
          <w:sz w:val="32"/>
          <w:szCs w:val="32"/>
          <w:highlight w:val="none"/>
          <w:lang w:eastAsia="zh-CN"/>
        </w:rPr>
      </w:pPr>
    </w:p>
    <w:sectPr>
      <w:footerReference r:id="rId3" w:type="default"/>
      <w:footerReference r:id="rId4" w:type="even"/>
      <w:pgSz w:w="11906" w:h="16838"/>
      <w:pgMar w:top="2098" w:right="1474" w:bottom="1984" w:left="1588" w:header="851" w:footer="1474" w:gutter="0"/>
      <w:cols w:space="720" w:num="1"/>
      <w:rtlGutter w:val="0"/>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6AAFEB5-2447-43BC-9ECF-1301938DBB0F}"/>
  </w:font>
  <w:font w:name="Arial">
    <w:panose1 w:val="020B0604020202020204"/>
    <w:charset w:val="01"/>
    <w:family w:val="swiss"/>
    <w:pitch w:val="default"/>
    <w:sig w:usb0="E0002EFF" w:usb1="C000785B" w:usb2="00000009" w:usb3="00000000" w:csb0="400001FF" w:csb1="FFFF0000"/>
    <w:embedRegular r:id="rId2" w:fontKey="{F32514CF-FB6C-4136-939B-CD43C621BF4F}"/>
  </w:font>
  <w:font w:name="黑体">
    <w:panose1 w:val="02010609060101010101"/>
    <w:charset w:val="86"/>
    <w:family w:val="auto"/>
    <w:pitch w:val="default"/>
    <w:sig w:usb0="800002BF" w:usb1="38CF7CFA" w:usb2="00000016" w:usb3="00000000" w:csb0="00040001" w:csb1="00000000"/>
    <w:embedRegular r:id="rId3" w:fontKey="{8905BA4B-5262-4DBD-B119-EE5A00CAA2C3}"/>
  </w:font>
  <w:font w:name="Courier New">
    <w:panose1 w:val="02070309020205020404"/>
    <w:charset w:val="01"/>
    <w:family w:val="modern"/>
    <w:pitch w:val="default"/>
    <w:sig w:usb0="E0002EFF" w:usb1="C0007843" w:usb2="00000009" w:usb3="00000000" w:csb0="400001FF" w:csb1="FFFF0000"/>
    <w:embedRegular r:id="rId4" w:fontKey="{469C6F96-0F01-485B-81FE-856E90140A8E}"/>
  </w:font>
  <w:font w:name="Symbol">
    <w:panose1 w:val="05050102010706020507"/>
    <w:charset w:val="02"/>
    <w:family w:val="roman"/>
    <w:pitch w:val="default"/>
    <w:sig w:usb0="00000000" w:usb1="00000000" w:usb2="00000000" w:usb3="00000000" w:csb0="80000000" w:csb1="00000000"/>
    <w:embedRegular r:id="rId5" w:fontKey="{8518919C-7808-4D27-BACF-D448E048736A}"/>
  </w:font>
  <w:font w:name="Calibri">
    <w:panose1 w:val="020F0502020204030204"/>
    <w:charset w:val="00"/>
    <w:family w:val="swiss"/>
    <w:pitch w:val="default"/>
    <w:sig w:usb0="E4002EFF" w:usb1="C000247B" w:usb2="00000009" w:usb3="00000000" w:csb0="200001FF" w:csb1="00000000"/>
    <w:embedRegular r:id="rId6" w:fontKey="{713FFB10-7B6D-481A-8C6A-77608013145D}"/>
  </w:font>
  <w:font w:name="楷体">
    <w:panose1 w:val="02010609060101010101"/>
    <w:charset w:val="7A"/>
    <w:family w:val="modern"/>
    <w:pitch w:val="default"/>
    <w:sig w:usb0="800002BF" w:usb1="38CF7CFA" w:usb2="00000016" w:usb3="00000000" w:csb0="00040001" w:csb1="00000000"/>
  </w:font>
  <w:font w:name="仿宋_GB2312">
    <w:panose1 w:val="02010609030101010101"/>
    <w:charset w:val="7A"/>
    <w:family w:val="auto"/>
    <w:pitch w:val="default"/>
    <w:sig w:usb0="00000001" w:usb1="080E0000" w:usb2="00000000" w:usb3="00000000" w:csb0="00040000" w:csb1="00000000"/>
    <w:embedRegular r:id="rId7" w:fontKey="{09F91DAB-5263-46B4-B480-7B42AA6FE4B2}"/>
  </w:font>
  <w:font w:name="方正小标宋简体">
    <w:panose1 w:val="03000509000000000000"/>
    <w:charset w:val="86"/>
    <w:family w:val="script"/>
    <w:pitch w:val="default"/>
    <w:sig w:usb0="00000001" w:usb1="080E0000" w:usb2="00000000" w:usb3="00000000" w:csb0="00040000" w:csb1="00000000"/>
    <w:embedRegular r:id="rId8" w:fontKey="{274B1AD3-1317-446B-8891-4304421755E2}"/>
  </w:font>
  <w:font w:name="楷体_GB2312">
    <w:altName w:val="楷体"/>
    <w:panose1 w:val="02010609030101010101"/>
    <w:charset w:val="7A"/>
    <w:family w:val="modern"/>
    <w:pitch w:val="default"/>
    <w:sig w:usb0="00000000" w:usb1="00000000" w:usb2="00000000" w:usb3="00000000" w:csb0="00040000" w:csb1="00000000"/>
    <w:embedRegular r:id="rId9" w:fontKey="{2EAE7BED-8A8C-4D4D-A46B-242092619F27}"/>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65D9C">
    <w:pPr>
      <w:pStyle w:val="10"/>
      <w:ind w:right="280"/>
      <w:jc w:val="right"/>
      <w:rPr>
        <w:rFonts w:ascii="宋体" w:hAnsi="宋体"/>
        <w:sz w:val="28"/>
        <w:szCs w:val="28"/>
      </w:rPr>
    </w:pPr>
    <w:r>
      <w:rPr>
        <w:rFonts w:ascii="宋体" w:hAnsi="宋体"/>
        <w:sz w:val="28"/>
        <w:szCs w:val="28"/>
      </w:rPr>
      <w:t>—</w:t>
    </w:r>
    <w:r>
      <w:rPr>
        <w:rFonts w:hint="eastAsia" w:ascii="宋体" w:hAnsi="宋体"/>
        <w:sz w:val="28"/>
        <w:szCs w:val="28"/>
      </w:rPr>
      <w:t xml:space="preserve"> </w:t>
    </w:r>
    <w:r>
      <w:rPr>
        <w:rFonts w:ascii="宋体" w:hAnsi="宋体"/>
        <w:sz w:val="28"/>
        <w:szCs w:val="28"/>
      </w:rPr>
      <w:fldChar w:fldCharType="begin"/>
    </w:r>
    <w:r>
      <w:rPr>
        <w:rStyle w:val="22"/>
        <w:rFonts w:ascii="宋体" w:hAnsi="宋体"/>
        <w:sz w:val="28"/>
        <w:szCs w:val="28"/>
      </w:rPr>
      <w:instrText xml:space="preserve"> PAGE </w:instrText>
    </w:r>
    <w:r>
      <w:rPr>
        <w:rFonts w:ascii="宋体" w:hAnsi="宋体"/>
        <w:sz w:val="28"/>
        <w:szCs w:val="28"/>
      </w:rPr>
      <w:fldChar w:fldCharType="separate"/>
    </w:r>
    <w:r>
      <w:rPr>
        <w:rStyle w:val="22"/>
        <w:rFonts w:ascii="宋体" w:hAnsi="宋体"/>
        <w:sz w:val="28"/>
        <w:szCs w:val="28"/>
      </w:rPr>
      <w:t>1</w:t>
    </w:r>
    <w:r>
      <w:rPr>
        <w:rFonts w:ascii="宋体" w:hAnsi="宋体"/>
        <w:sz w:val="28"/>
        <w:szCs w:val="28"/>
      </w:rPr>
      <w:fldChar w:fldCharType="end"/>
    </w:r>
    <w:r>
      <w:rPr>
        <w:rStyle w:val="22"/>
        <w:rFonts w:hint="eastAsia" w:ascii="宋体" w:hAnsi="宋体"/>
        <w:sz w:val="28"/>
        <w:szCs w:val="28"/>
      </w:rPr>
      <w:t xml:space="preserve"> </w:t>
    </w:r>
    <w:r>
      <w:rPr>
        <w:rFonts w:ascii="宋体" w:hAnsi="宋体"/>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6BB4B">
    <w:pPr>
      <w:pStyle w:val="10"/>
      <w:ind w:right="280" w:firstLine="280" w:firstLineChars="100"/>
      <w:rPr>
        <w:rFonts w:ascii="宋体" w:hAnsi="宋体"/>
        <w:sz w:val="28"/>
        <w:szCs w:val="28"/>
      </w:rPr>
    </w:pPr>
    <w:r>
      <w:rPr>
        <w:rFonts w:ascii="宋体" w:hAnsi="宋体"/>
        <w:sz w:val="28"/>
        <w:szCs w:val="28"/>
      </w:rPr>
      <w:t>—</w:t>
    </w:r>
    <w:r>
      <w:rPr>
        <w:rFonts w:hint="eastAsia" w:ascii="宋体" w:hAnsi="宋体"/>
        <w:sz w:val="28"/>
        <w:szCs w:val="28"/>
      </w:rPr>
      <w:t xml:space="preserve"> </w:t>
    </w:r>
    <w:r>
      <w:rPr>
        <w:rFonts w:ascii="宋体" w:hAnsi="宋体"/>
        <w:sz w:val="28"/>
        <w:szCs w:val="28"/>
      </w:rPr>
      <w:fldChar w:fldCharType="begin"/>
    </w:r>
    <w:r>
      <w:rPr>
        <w:rStyle w:val="22"/>
        <w:rFonts w:ascii="宋体" w:hAnsi="宋体"/>
        <w:sz w:val="28"/>
        <w:szCs w:val="28"/>
      </w:rPr>
      <w:instrText xml:space="preserve"> PAGE </w:instrText>
    </w:r>
    <w:r>
      <w:rPr>
        <w:rFonts w:ascii="宋体" w:hAnsi="宋体"/>
        <w:sz w:val="28"/>
        <w:szCs w:val="28"/>
      </w:rPr>
      <w:fldChar w:fldCharType="separate"/>
    </w:r>
    <w:r>
      <w:rPr>
        <w:rStyle w:val="22"/>
        <w:rFonts w:ascii="宋体" w:hAnsi="宋体"/>
        <w:sz w:val="28"/>
        <w:szCs w:val="28"/>
      </w:rPr>
      <w:t>2</w:t>
    </w:r>
    <w:r>
      <w:rPr>
        <w:rFonts w:ascii="宋体" w:hAnsi="宋体"/>
        <w:sz w:val="28"/>
        <w:szCs w:val="28"/>
      </w:rPr>
      <w:fldChar w:fldCharType="end"/>
    </w:r>
    <w:r>
      <w:rPr>
        <w:rStyle w:val="22"/>
        <w:rFonts w:hint="eastAsia" w:ascii="宋体" w:hAnsi="宋体"/>
        <w:sz w:val="28"/>
        <w:szCs w:val="28"/>
      </w:rPr>
      <w:t xml:space="preserve"> </w:t>
    </w:r>
    <w:r>
      <w:rPr>
        <w:rFonts w:ascii="宋体" w:hAnsi="宋体"/>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9"/>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56F6"/>
    <w:rsid w:val="00091974"/>
    <w:rsid w:val="000C5E87"/>
    <w:rsid w:val="00154F85"/>
    <w:rsid w:val="00163814"/>
    <w:rsid w:val="0019756D"/>
    <w:rsid w:val="001B17EA"/>
    <w:rsid w:val="001D22A1"/>
    <w:rsid w:val="001E3FE0"/>
    <w:rsid w:val="001F0D3F"/>
    <w:rsid w:val="0020403A"/>
    <w:rsid w:val="00234232"/>
    <w:rsid w:val="00256FB1"/>
    <w:rsid w:val="0027349C"/>
    <w:rsid w:val="00285A9A"/>
    <w:rsid w:val="002F3843"/>
    <w:rsid w:val="003018B6"/>
    <w:rsid w:val="00305EF4"/>
    <w:rsid w:val="0033234F"/>
    <w:rsid w:val="003C5330"/>
    <w:rsid w:val="003E662F"/>
    <w:rsid w:val="004405D2"/>
    <w:rsid w:val="004409BB"/>
    <w:rsid w:val="0049156C"/>
    <w:rsid w:val="00495AD2"/>
    <w:rsid w:val="004C0B0B"/>
    <w:rsid w:val="004F2587"/>
    <w:rsid w:val="0053789D"/>
    <w:rsid w:val="005466AC"/>
    <w:rsid w:val="005613C0"/>
    <w:rsid w:val="005735B8"/>
    <w:rsid w:val="005B1786"/>
    <w:rsid w:val="005B7EC7"/>
    <w:rsid w:val="005C62B7"/>
    <w:rsid w:val="00614AC4"/>
    <w:rsid w:val="00633FE2"/>
    <w:rsid w:val="00650B03"/>
    <w:rsid w:val="00653AB6"/>
    <w:rsid w:val="0066220F"/>
    <w:rsid w:val="00667982"/>
    <w:rsid w:val="00696AFA"/>
    <w:rsid w:val="006C61D1"/>
    <w:rsid w:val="006D7308"/>
    <w:rsid w:val="006D7C61"/>
    <w:rsid w:val="00730189"/>
    <w:rsid w:val="007949B4"/>
    <w:rsid w:val="007F4BB0"/>
    <w:rsid w:val="008169F6"/>
    <w:rsid w:val="00885B7B"/>
    <w:rsid w:val="008D4F14"/>
    <w:rsid w:val="008D7913"/>
    <w:rsid w:val="008F061A"/>
    <w:rsid w:val="008F58DF"/>
    <w:rsid w:val="00902244"/>
    <w:rsid w:val="00951B24"/>
    <w:rsid w:val="00965152"/>
    <w:rsid w:val="00985866"/>
    <w:rsid w:val="009E7D2C"/>
    <w:rsid w:val="00A36FCB"/>
    <w:rsid w:val="00A4080E"/>
    <w:rsid w:val="00AD0283"/>
    <w:rsid w:val="00B075FC"/>
    <w:rsid w:val="00B15961"/>
    <w:rsid w:val="00B82878"/>
    <w:rsid w:val="00BA69B2"/>
    <w:rsid w:val="00BB1DD8"/>
    <w:rsid w:val="00BF5129"/>
    <w:rsid w:val="00C32E01"/>
    <w:rsid w:val="00C4426F"/>
    <w:rsid w:val="00C634C7"/>
    <w:rsid w:val="00C90DFE"/>
    <w:rsid w:val="00CA1664"/>
    <w:rsid w:val="00CE2B03"/>
    <w:rsid w:val="00CE4713"/>
    <w:rsid w:val="00D11429"/>
    <w:rsid w:val="00D43BB1"/>
    <w:rsid w:val="00D6165A"/>
    <w:rsid w:val="00DB5325"/>
    <w:rsid w:val="00DB6A7C"/>
    <w:rsid w:val="00E77C33"/>
    <w:rsid w:val="00EB0682"/>
    <w:rsid w:val="00EC114A"/>
    <w:rsid w:val="00EC60FD"/>
    <w:rsid w:val="00ED1D4A"/>
    <w:rsid w:val="00ED6C96"/>
    <w:rsid w:val="00EF5D7B"/>
    <w:rsid w:val="00F55115"/>
    <w:rsid w:val="00F64571"/>
    <w:rsid w:val="00FE1637"/>
    <w:rsid w:val="01475100"/>
    <w:rsid w:val="01505F15"/>
    <w:rsid w:val="01CA216C"/>
    <w:rsid w:val="02467A4B"/>
    <w:rsid w:val="02E23750"/>
    <w:rsid w:val="03664EA1"/>
    <w:rsid w:val="03A5079A"/>
    <w:rsid w:val="03CC68E9"/>
    <w:rsid w:val="04161698"/>
    <w:rsid w:val="04206073"/>
    <w:rsid w:val="04983E5B"/>
    <w:rsid w:val="04B50EB1"/>
    <w:rsid w:val="04EB5006"/>
    <w:rsid w:val="051E25B2"/>
    <w:rsid w:val="05272EA2"/>
    <w:rsid w:val="06257864"/>
    <w:rsid w:val="0661350E"/>
    <w:rsid w:val="06CB390E"/>
    <w:rsid w:val="07660241"/>
    <w:rsid w:val="07F76E9E"/>
    <w:rsid w:val="080D690E"/>
    <w:rsid w:val="08145EEF"/>
    <w:rsid w:val="087D1CE6"/>
    <w:rsid w:val="08836BD0"/>
    <w:rsid w:val="088D02CC"/>
    <w:rsid w:val="08966904"/>
    <w:rsid w:val="09DA6CC4"/>
    <w:rsid w:val="0A8C6210"/>
    <w:rsid w:val="0ABD461B"/>
    <w:rsid w:val="0B111BF9"/>
    <w:rsid w:val="0B64718D"/>
    <w:rsid w:val="0B7A075E"/>
    <w:rsid w:val="0C0E654C"/>
    <w:rsid w:val="0C197F77"/>
    <w:rsid w:val="0CC60361"/>
    <w:rsid w:val="0CD93263"/>
    <w:rsid w:val="0D413ECD"/>
    <w:rsid w:val="0D8257FC"/>
    <w:rsid w:val="0E19600D"/>
    <w:rsid w:val="0E2A2512"/>
    <w:rsid w:val="0E5758F0"/>
    <w:rsid w:val="0ECF491D"/>
    <w:rsid w:val="0EF15C6F"/>
    <w:rsid w:val="0F705B10"/>
    <w:rsid w:val="0FAA6C02"/>
    <w:rsid w:val="10466E61"/>
    <w:rsid w:val="10C45D0D"/>
    <w:rsid w:val="1102722C"/>
    <w:rsid w:val="112A6F26"/>
    <w:rsid w:val="11414659"/>
    <w:rsid w:val="1164103E"/>
    <w:rsid w:val="122A435A"/>
    <w:rsid w:val="122B7CD3"/>
    <w:rsid w:val="12587EDD"/>
    <w:rsid w:val="12937E5A"/>
    <w:rsid w:val="12A6287B"/>
    <w:rsid w:val="12AF398C"/>
    <w:rsid w:val="135F7D7F"/>
    <w:rsid w:val="13712D63"/>
    <w:rsid w:val="14131750"/>
    <w:rsid w:val="14203CC9"/>
    <w:rsid w:val="14A97F56"/>
    <w:rsid w:val="14C36012"/>
    <w:rsid w:val="14E50913"/>
    <w:rsid w:val="15AB431C"/>
    <w:rsid w:val="15FC6A05"/>
    <w:rsid w:val="16931028"/>
    <w:rsid w:val="16BF1FDC"/>
    <w:rsid w:val="176045D1"/>
    <w:rsid w:val="17BB6387"/>
    <w:rsid w:val="17E21B65"/>
    <w:rsid w:val="18494A1B"/>
    <w:rsid w:val="186B1B5B"/>
    <w:rsid w:val="18784278"/>
    <w:rsid w:val="19726F19"/>
    <w:rsid w:val="19B05DA1"/>
    <w:rsid w:val="1AA650CC"/>
    <w:rsid w:val="1B023FC2"/>
    <w:rsid w:val="1B5E51D4"/>
    <w:rsid w:val="1BAF6202"/>
    <w:rsid w:val="1C525A04"/>
    <w:rsid w:val="1D050BE8"/>
    <w:rsid w:val="1D8F1C13"/>
    <w:rsid w:val="1F3031B6"/>
    <w:rsid w:val="1F4153C3"/>
    <w:rsid w:val="1F710E25"/>
    <w:rsid w:val="1FA1145E"/>
    <w:rsid w:val="20C92C18"/>
    <w:rsid w:val="20D34741"/>
    <w:rsid w:val="20FB77F4"/>
    <w:rsid w:val="215C3544"/>
    <w:rsid w:val="22133EA1"/>
    <w:rsid w:val="22477195"/>
    <w:rsid w:val="24B83CB6"/>
    <w:rsid w:val="24EB23EE"/>
    <w:rsid w:val="250C5C83"/>
    <w:rsid w:val="25557B05"/>
    <w:rsid w:val="25906372"/>
    <w:rsid w:val="26500C1F"/>
    <w:rsid w:val="268754E8"/>
    <w:rsid w:val="26B21721"/>
    <w:rsid w:val="26F4714B"/>
    <w:rsid w:val="2710223D"/>
    <w:rsid w:val="28A231D5"/>
    <w:rsid w:val="28BE1833"/>
    <w:rsid w:val="28E05C4D"/>
    <w:rsid w:val="290C15E6"/>
    <w:rsid w:val="29126403"/>
    <w:rsid w:val="2927387C"/>
    <w:rsid w:val="296956A1"/>
    <w:rsid w:val="297F4B80"/>
    <w:rsid w:val="29AB625B"/>
    <w:rsid w:val="29C63095"/>
    <w:rsid w:val="2A323E65"/>
    <w:rsid w:val="2A757E5C"/>
    <w:rsid w:val="2AE674AF"/>
    <w:rsid w:val="2AF059EC"/>
    <w:rsid w:val="2B681F2A"/>
    <w:rsid w:val="2B795DEE"/>
    <w:rsid w:val="2B7C38C5"/>
    <w:rsid w:val="2B9B22FF"/>
    <w:rsid w:val="2BBC3D43"/>
    <w:rsid w:val="2BD206E3"/>
    <w:rsid w:val="2C2D1E5E"/>
    <w:rsid w:val="2D272D50"/>
    <w:rsid w:val="2D881F35"/>
    <w:rsid w:val="2DCA7879"/>
    <w:rsid w:val="2DDB7AD3"/>
    <w:rsid w:val="2DF81343"/>
    <w:rsid w:val="2E6E5AA9"/>
    <w:rsid w:val="2E9F1433"/>
    <w:rsid w:val="2F1F0B51"/>
    <w:rsid w:val="2F234AE5"/>
    <w:rsid w:val="2F594288"/>
    <w:rsid w:val="2FCE5484"/>
    <w:rsid w:val="2FF25755"/>
    <w:rsid w:val="30DB6CFA"/>
    <w:rsid w:val="312B528D"/>
    <w:rsid w:val="31310372"/>
    <w:rsid w:val="316C4AE3"/>
    <w:rsid w:val="31BC6B2B"/>
    <w:rsid w:val="32171FB4"/>
    <w:rsid w:val="32CF40C6"/>
    <w:rsid w:val="330811E7"/>
    <w:rsid w:val="338E62A6"/>
    <w:rsid w:val="33C46C09"/>
    <w:rsid w:val="33F425AD"/>
    <w:rsid w:val="343621AE"/>
    <w:rsid w:val="348270E4"/>
    <w:rsid w:val="34D9259E"/>
    <w:rsid w:val="34FD287C"/>
    <w:rsid w:val="352D221A"/>
    <w:rsid w:val="358930F6"/>
    <w:rsid w:val="35FA439C"/>
    <w:rsid w:val="36A209E6"/>
    <w:rsid w:val="36D744EB"/>
    <w:rsid w:val="37022153"/>
    <w:rsid w:val="377D4FA2"/>
    <w:rsid w:val="37AD6F17"/>
    <w:rsid w:val="37BA3B0D"/>
    <w:rsid w:val="3836588A"/>
    <w:rsid w:val="387C7014"/>
    <w:rsid w:val="38C22C79"/>
    <w:rsid w:val="38C82ED6"/>
    <w:rsid w:val="38F73785"/>
    <w:rsid w:val="39382F3B"/>
    <w:rsid w:val="39490229"/>
    <w:rsid w:val="399262BC"/>
    <w:rsid w:val="399D1F62"/>
    <w:rsid w:val="39AE31FE"/>
    <w:rsid w:val="3A5E548C"/>
    <w:rsid w:val="3A690682"/>
    <w:rsid w:val="3AA34100"/>
    <w:rsid w:val="3AD140C3"/>
    <w:rsid w:val="3AEF3E65"/>
    <w:rsid w:val="3B653AFE"/>
    <w:rsid w:val="3BAB02CC"/>
    <w:rsid w:val="3C0B3222"/>
    <w:rsid w:val="3C12216A"/>
    <w:rsid w:val="3C5502A8"/>
    <w:rsid w:val="3C8D72BC"/>
    <w:rsid w:val="3CFB4ABD"/>
    <w:rsid w:val="3D25605E"/>
    <w:rsid w:val="3DC40C99"/>
    <w:rsid w:val="3DD31825"/>
    <w:rsid w:val="3E0B50C2"/>
    <w:rsid w:val="3EFD6D73"/>
    <w:rsid w:val="3F126659"/>
    <w:rsid w:val="40271F5C"/>
    <w:rsid w:val="40364AE1"/>
    <w:rsid w:val="404B145A"/>
    <w:rsid w:val="41943621"/>
    <w:rsid w:val="42021DFC"/>
    <w:rsid w:val="4211283C"/>
    <w:rsid w:val="42250C7F"/>
    <w:rsid w:val="42402638"/>
    <w:rsid w:val="428476A9"/>
    <w:rsid w:val="43736FAC"/>
    <w:rsid w:val="43A833B4"/>
    <w:rsid w:val="442A5B77"/>
    <w:rsid w:val="444A7FC7"/>
    <w:rsid w:val="444E30A8"/>
    <w:rsid w:val="445826E4"/>
    <w:rsid w:val="44D51F86"/>
    <w:rsid w:val="45442C68"/>
    <w:rsid w:val="454E12FE"/>
    <w:rsid w:val="4550785F"/>
    <w:rsid w:val="45654104"/>
    <w:rsid w:val="456B6447"/>
    <w:rsid w:val="458047D3"/>
    <w:rsid w:val="45967968"/>
    <w:rsid w:val="45996A3C"/>
    <w:rsid w:val="462875A5"/>
    <w:rsid w:val="46A75BA4"/>
    <w:rsid w:val="46C44060"/>
    <w:rsid w:val="471F7B3D"/>
    <w:rsid w:val="4723347D"/>
    <w:rsid w:val="47356D0C"/>
    <w:rsid w:val="47832F39"/>
    <w:rsid w:val="479F062A"/>
    <w:rsid w:val="47A22C9A"/>
    <w:rsid w:val="47AD71EA"/>
    <w:rsid w:val="47D73AC0"/>
    <w:rsid w:val="47E744AA"/>
    <w:rsid w:val="480C3F11"/>
    <w:rsid w:val="48220665"/>
    <w:rsid w:val="4856343D"/>
    <w:rsid w:val="490E151D"/>
    <w:rsid w:val="491A7BFA"/>
    <w:rsid w:val="49BE1E7B"/>
    <w:rsid w:val="49F96717"/>
    <w:rsid w:val="4A070E34"/>
    <w:rsid w:val="4A1126E1"/>
    <w:rsid w:val="4A7A7858"/>
    <w:rsid w:val="4B240433"/>
    <w:rsid w:val="4B24566A"/>
    <w:rsid w:val="4B38326F"/>
    <w:rsid w:val="4B8557F3"/>
    <w:rsid w:val="4BC114B6"/>
    <w:rsid w:val="4C0F6E8B"/>
    <w:rsid w:val="4CCF4510"/>
    <w:rsid w:val="4D023B34"/>
    <w:rsid w:val="4D2717ED"/>
    <w:rsid w:val="4D400CC0"/>
    <w:rsid w:val="4DA1334D"/>
    <w:rsid w:val="4DD878AB"/>
    <w:rsid w:val="4E2F31D3"/>
    <w:rsid w:val="4E486384"/>
    <w:rsid w:val="4E607171"/>
    <w:rsid w:val="4E760336"/>
    <w:rsid w:val="4EB16FBF"/>
    <w:rsid w:val="4F714FA1"/>
    <w:rsid w:val="4FC41575"/>
    <w:rsid w:val="4FC61259"/>
    <w:rsid w:val="4FD80B7D"/>
    <w:rsid w:val="50033E4B"/>
    <w:rsid w:val="504A7CCC"/>
    <w:rsid w:val="506A3ECB"/>
    <w:rsid w:val="50CE26AB"/>
    <w:rsid w:val="51D74082"/>
    <w:rsid w:val="52631939"/>
    <w:rsid w:val="527D038C"/>
    <w:rsid w:val="52F7756C"/>
    <w:rsid w:val="53351409"/>
    <w:rsid w:val="53545B7E"/>
    <w:rsid w:val="535624E4"/>
    <w:rsid w:val="53593FCB"/>
    <w:rsid w:val="536F7A4A"/>
    <w:rsid w:val="53A5346C"/>
    <w:rsid w:val="53DD2C05"/>
    <w:rsid w:val="55306D65"/>
    <w:rsid w:val="55680494"/>
    <w:rsid w:val="55935C72"/>
    <w:rsid w:val="559A4727"/>
    <w:rsid w:val="5611181A"/>
    <w:rsid w:val="56206DD9"/>
    <w:rsid w:val="56846665"/>
    <w:rsid w:val="56B20379"/>
    <w:rsid w:val="57081787"/>
    <w:rsid w:val="57F81DBC"/>
    <w:rsid w:val="585A5481"/>
    <w:rsid w:val="585F62DF"/>
    <w:rsid w:val="587A3121"/>
    <w:rsid w:val="58F713D3"/>
    <w:rsid w:val="59082C59"/>
    <w:rsid w:val="599929C6"/>
    <w:rsid w:val="59BD6D86"/>
    <w:rsid w:val="59C52172"/>
    <w:rsid w:val="59EC0196"/>
    <w:rsid w:val="5A76346C"/>
    <w:rsid w:val="5AF62850"/>
    <w:rsid w:val="5BBD1537"/>
    <w:rsid w:val="5C3B2BBF"/>
    <w:rsid w:val="5C58279A"/>
    <w:rsid w:val="5CAD7A90"/>
    <w:rsid w:val="5CFC024D"/>
    <w:rsid w:val="5D127168"/>
    <w:rsid w:val="5D2E5553"/>
    <w:rsid w:val="5D3715D8"/>
    <w:rsid w:val="5D465377"/>
    <w:rsid w:val="5D4E06D0"/>
    <w:rsid w:val="5DB833AA"/>
    <w:rsid w:val="5DC476F7"/>
    <w:rsid w:val="5F122193"/>
    <w:rsid w:val="5F5B28EC"/>
    <w:rsid w:val="5F856747"/>
    <w:rsid w:val="5FAF15CD"/>
    <w:rsid w:val="5FAF18FA"/>
    <w:rsid w:val="5FC058B5"/>
    <w:rsid w:val="60497104"/>
    <w:rsid w:val="60561A1A"/>
    <w:rsid w:val="60760E5E"/>
    <w:rsid w:val="61354A67"/>
    <w:rsid w:val="61A909EB"/>
    <w:rsid w:val="61FB0E26"/>
    <w:rsid w:val="62913539"/>
    <w:rsid w:val="6299063F"/>
    <w:rsid w:val="63643CCF"/>
    <w:rsid w:val="63650C44"/>
    <w:rsid w:val="645A3887"/>
    <w:rsid w:val="648526B8"/>
    <w:rsid w:val="656B6762"/>
    <w:rsid w:val="6575497E"/>
    <w:rsid w:val="658B10E8"/>
    <w:rsid w:val="65991E30"/>
    <w:rsid w:val="659F468D"/>
    <w:rsid w:val="65B66714"/>
    <w:rsid w:val="661F0E5C"/>
    <w:rsid w:val="665D0100"/>
    <w:rsid w:val="66D659BE"/>
    <w:rsid w:val="675608AD"/>
    <w:rsid w:val="6760797E"/>
    <w:rsid w:val="676A67F3"/>
    <w:rsid w:val="679715F1"/>
    <w:rsid w:val="67B87F5C"/>
    <w:rsid w:val="67FA67FA"/>
    <w:rsid w:val="68604E82"/>
    <w:rsid w:val="6885172C"/>
    <w:rsid w:val="68B7181F"/>
    <w:rsid w:val="68E5013A"/>
    <w:rsid w:val="68E72104"/>
    <w:rsid w:val="68EF2D67"/>
    <w:rsid w:val="69A93FE5"/>
    <w:rsid w:val="6A215A0A"/>
    <w:rsid w:val="6AD7687B"/>
    <w:rsid w:val="6B480E55"/>
    <w:rsid w:val="6B735ED1"/>
    <w:rsid w:val="6B7F014F"/>
    <w:rsid w:val="6B8F0831"/>
    <w:rsid w:val="6BE05D30"/>
    <w:rsid w:val="6BFB5EC7"/>
    <w:rsid w:val="6C3513D9"/>
    <w:rsid w:val="6C372114"/>
    <w:rsid w:val="6CF50B68"/>
    <w:rsid w:val="6DF378FC"/>
    <w:rsid w:val="6E301E58"/>
    <w:rsid w:val="6ED3236C"/>
    <w:rsid w:val="6F672FA0"/>
    <w:rsid w:val="7013102D"/>
    <w:rsid w:val="703D77F4"/>
    <w:rsid w:val="70827064"/>
    <w:rsid w:val="70BE48D9"/>
    <w:rsid w:val="70DF3FD1"/>
    <w:rsid w:val="71C61737"/>
    <w:rsid w:val="72A252EE"/>
    <w:rsid w:val="73373C88"/>
    <w:rsid w:val="73634A7D"/>
    <w:rsid w:val="737E1AB9"/>
    <w:rsid w:val="74BA1537"/>
    <w:rsid w:val="751122B7"/>
    <w:rsid w:val="75232465"/>
    <w:rsid w:val="756065D5"/>
    <w:rsid w:val="75D67789"/>
    <w:rsid w:val="75D92DD5"/>
    <w:rsid w:val="76342701"/>
    <w:rsid w:val="76384849"/>
    <w:rsid w:val="770E2F52"/>
    <w:rsid w:val="77437605"/>
    <w:rsid w:val="77BF6E55"/>
    <w:rsid w:val="77CE6A68"/>
    <w:rsid w:val="78260B2C"/>
    <w:rsid w:val="79132D33"/>
    <w:rsid w:val="797F1EE5"/>
    <w:rsid w:val="79F01271"/>
    <w:rsid w:val="79F873C7"/>
    <w:rsid w:val="7A71000D"/>
    <w:rsid w:val="7A9E45ED"/>
    <w:rsid w:val="7C030BAC"/>
    <w:rsid w:val="7C2306BA"/>
    <w:rsid w:val="7CAA54CB"/>
    <w:rsid w:val="7CBE0F77"/>
    <w:rsid w:val="7D122FCA"/>
    <w:rsid w:val="7D4166B9"/>
    <w:rsid w:val="7D7C4772"/>
    <w:rsid w:val="7D9F7DC3"/>
    <w:rsid w:val="7DB74617"/>
    <w:rsid w:val="7DB84717"/>
    <w:rsid w:val="7F531F76"/>
    <w:rsid w:val="7F8B2ADE"/>
    <w:rsid w:val="7FFF63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qFormat="1"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widowControl w:val="0"/>
      <w:autoSpaceDE w:val="0"/>
      <w:autoSpaceDN w:val="0"/>
      <w:spacing w:before="0" w:after="0" w:line="240" w:lineRule="auto"/>
      <w:ind w:left="780" w:firstLine="0"/>
      <w:outlineLvl w:val="1"/>
    </w:pPr>
    <w:rPr>
      <w:rFonts w:ascii="Times New Roman" w:hAnsi="Times New Roman" w:eastAsia="楷体" w:cs="Times New Roman"/>
      <w:b/>
      <w:sz w:val="32"/>
    </w:rPr>
  </w:style>
  <w:style w:type="character" w:default="1" w:styleId="20">
    <w:name w:val="Default Paragraph Font"/>
    <w:qFormat/>
    <w:uiPriority w:val="0"/>
    <w:rPr>
      <w:rFonts w:ascii="Times New Roman" w:hAnsi="Times New Roman" w:eastAsia="宋体" w:cs="Times New Roman"/>
    </w:rPr>
  </w:style>
  <w:style w:type="table" w:default="1" w:styleId="18">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4">
    <w:name w:val="index 8"/>
    <w:basedOn w:val="1"/>
    <w:next w:val="1"/>
    <w:qFormat/>
    <w:uiPriority w:val="0"/>
    <w:pPr>
      <w:tabs>
        <w:tab w:val="left" w:pos="540"/>
        <w:tab w:val="left" w:pos="900"/>
      </w:tabs>
      <w:jc w:val="center"/>
    </w:pPr>
    <w:rPr>
      <w:rFonts w:ascii="宋体" w:hAnsi="宋体" w:eastAsia="宋体" w:cs="宋体"/>
      <w:color w:val="000000"/>
      <w:sz w:val="32"/>
      <w:szCs w:val="32"/>
    </w:rPr>
  </w:style>
  <w:style w:type="paragraph" w:styleId="5">
    <w:name w:val="Body Text"/>
    <w:basedOn w:val="1"/>
    <w:next w:val="6"/>
    <w:link w:val="23"/>
    <w:qFormat/>
    <w:uiPriority w:val="0"/>
    <w:pPr>
      <w:spacing w:after="120"/>
    </w:pPr>
    <w:rPr>
      <w:rFonts w:ascii="Calibri" w:hAnsi="Calibri" w:eastAsia="宋体" w:cs="Times New Roman"/>
      <w:szCs w:val="22"/>
    </w:rPr>
  </w:style>
  <w:style w:type="paragraph" w:styleId="6">
    <w:name w:val="Body Text First Indent"/>
    <w:basedOn w:val="5"/>
    <w:next w:val="1"/>
    <w:qFormat/>
    <w:uiPriority w:val="0"/>
    <w:pPr>
      <w:ind w:firstLine="420" w:firstLineChars="100"/>
    </w:pPr>
    <w:rPr>
      <w:rFonts w:ascii="Times New Roman" w:hAnsi="Times New Roman" w:eastAsia="宋体" w:cs="Times New Roman"/>
    </w:rPr>
  </w:style>
  <w:style w:type="paragraph" w:styleId="7">
    <w:name w:val="Body Text Indent"/>
    <w:basedOn w:val="1"/>
    <w:next w:val="1"/>
    <w:qFormat/>
    <w:uiPriority w:val="0"/>
    <w:pPr>
      <w:spacing w:after="120"/>
      <w:ind w:left="420" w:leftChars="200"/>
    </w:pPr>
    <w:rPr>
      <w:rFonts w:ascii="Calibri" w:hAnsi="Calibri" w:eastAsia="宋体" w:cs="Times New Roman"/>
      <w:szCs w:val="24"/>
    </w:rPr>
  </w:style>
  <w:style w:type="paragraph" w:styleId="8">
    <w:name w:val="Date"/>
    <w:basedOn w:val="1"/>
    <w:next w:val="1"/>
    <w:link w:val="31"/>
    <w:qFormat/>
    <w:uiPriority w:val="0"/>
    <w:pPr>
      <w:ind w:left="100" w:leftChars="2500"/>
    </w:pPr>
    <w:rPr>
      <w:rFonts w:ascii="Times New Roman" w:hAnsi="Times New Roman" w:eastAsia="宋体" w:cs="Times New Roman"/>
    </w:rPr>
  </w:style>
  <w:style w:type="paragraph" w:styleId="9">
    <w:name w:val="Balloon Text"/>
    <w:basedOn w:val="1"/>
    <w:link w:val="29"/>
    <w:qFormat/>
    <w:uiPriority w:val="0"/>
    <w:rPr>
      <w:rFonts w:ascii="Times New Roman" w:hAnsi="Times New Roman" w:eastAsia="宋体" w:cs="Times New Roman"/>
      <w:sz w:val="18"/>
      <w:szCs w:val="18"/>
    </w:rPr>
  </w:style>
  <w:style w:type="paragraph" w:styleId="10">
    <w:name w:val="footer"/>
    <w:basedOn w:val="1"/>
    <w:link w:val="24"/>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11">
    <w:name w:val="header"/>
    <w:basedOn w:val="1"/>
    <w:link w:val="32"/>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2">
    <w:name w:val="index 9"/>
    <w:basedOn w:val="1"/>
    <w:next w:val="1"/>
    <w:qFormat/>
    <w:uiPriority w:val="0"/>
    <w:pPr>
      <w:ind w:left="3360"/>
    </w:pPr>
    <w:rPr>
      <w:rFonts w:ascii="Calibri" w:hAnsi="Calibri" w:eastAsia="宋体" w:cs="Times New Roman"/>
    </w:rPr>
  </w:style>
  <w:style w:type="paragraph" w:styleId="13">
    <w:name w:val="Body Text 2"/>
    <w:basedOn w:val="1"/>
    <w:qFormat/>
    <w:uiPriority w:val="0"/>
    <w:pPr>
      <w:spacing w:after="120" w:line="480" w:lineRule="auto"/>
    </w:pPr>
    <w:rPr>
      <w:rFonts w:ascii="Times New Roman" w:hAnsi="Times New Roman" w:eastAsia="宋体" w:cs="Times New Roman"/>
      <w:szCs w:val="24"/>
    </w:rPr>
  </w:style>
  <w:style w:type="paragraph" w:styleId="14">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Normal (Web)"/>
    <w:basedOn w:val="1"/>
    <w:qFormat/>
    <w:uiPriority w:val="0"/>
    <w:pPr>
      <w:spacing w:before="100" w:beforeAutospacing="1" w:after="100" w:afterAutospacing="1"/>
      <w:ind w:left="0" w:right="0"/>
      <w:jc w:val="left"/>
    </w:pPr>
    <w:rPr>
      <w:rFonts w:ascii="Times New Roman" w:hAnsi="Times New Roman" w:eastAsia="宋体" w:cs="Times New Roman"/>
      <w:kern w:val="0"/>
      <w:sz w:val="24"/>
      <w:lang w:val="en-US" w:eastAsia="zh-CN" w:bidi="ar"/>
    </w:rPr>
  </w:style>
  <w:style w:type="paragraph" w:styleId="16">
    <w:name w:val="Title"/>
    <w:basedOn w:val="1"/>
    <w:next w:val="7"/>
    <w:qFormat/>
    <w:uiPriority w:val="0"/>
    <w:pPr>
      <w:spacing w:before="240" w:after="60"/>
      <w:ind w:left="640" w:leftChars="200"/>
      <w:outlineLvl w:val="0"/>
    </w:pPr>
    <w:rPr>
      <w:rFonts w:ascii="Arial" w:hAnsi="Arial" w:eastAsia="仿宋_GB2312" w:cs="Times New Roman"/>
      <w:b/>
      <w:sz w:val="32"/>
      <w:szCs w:val="24"/>
    </w:rPr>
  </w:style>
  <w:style w:type="paragraph" w:styleId="17">
    <w:name w:val="Body Text First Indent 2"/>
    <w:basedOn w:val="7"/>
    <w:qFormat/>
    <w:uiPriority w:val="0"/>
    <w:pPr>
      <w:spacing w:after="0"/>
      <w:ind w:firstLine="420" w:firstLineChars="200"/>
    </w:pPr>
    <w:rPr>
      <w:rFonts w:ascii="Times New Roman" w:hAnsi="Times New Roman" w:eastAsia="宋体" w:cs="Times New Roman"/>
    </w:rPr>
  </w:style>
  <w:style w:type="table" w:styleId="19">
    <w:name w:val="Table Grid"/>
    <w:basedOn w:val="1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rFonts w:ascii="Times New Roman" w:hAnsi="Times New Roman" w:eastAsia="宋体" w:cs="Times New Roman"/>
      <w:b/>
    </w:rPr>
  </w:style>
  <w:style w:type="character" w:styleId="22">
    <w:name w:val="page number"/>
    <w:qFormat/>
    <w:uiPriority w:val="0"/>
    <w:rPr>
      <w:rFonts w:ascii="Times New Roman" w:hAnsi="Times New Roman" w:eastAsia="宋体" w:cs="Times New Roman"/>
    </w:rPr>
  </w:style>
  <w:style w:type="character" w:customStyle="1" w:styleId="23">
    <w:name w:val="正文文本 Char"/>
    <w:link w:val="5"/>
    <w:qFormat/>
    <w:uiPriority w:val="0"/>
    <w:rPr>
      <w:rFonts w:ascii="Calibri" w:hAnsi="Calibri" w:eastAsia="宋体" w:cs="Times New Roman"/>
      <w:kern w:val="2"/>
      <w:sz w:val="21"/>
      <w:szCs w:val="22"/>
    </w:rPr>
  </w:style>
  <w:style w:type="character" w:customStyle="1" w:styleId="24">
    <w:name w:val="页脚 Char"/>
    <w:link w:val="10"/>
    <w:qFormat/>
    <w:uiPriority w:val="0"/>
    <w:rPr>
      <w:rFonts w:ascii="Calibri" w:hAnsi="Calibri" w:eastAsia="宋体" w:cs="Times New Roman"/>
      <w:kern w:val="2"/>
      <w:sz w:val="18"/>
      <w:szCs w:val="18"/>
    </w:rPr>
  </w:style>
  <w:style w:type="paragraph" w:styleId="25">
    <w:name w:val="List Paragraph"/>
    <w:basedOn w:val="1"/>
    <w:qFormat/>
    <w:uiPriority w:val="0"/>
    <w:pPr>
      <w:ind w:firstLine="420" w:firstLineChars="200"/>
    </w:pPr>
    <w:rPr>
      <w:rFonts w:ascii="Times New Roman" w:hAnsi="Times New Roman" w:eastAsia="宋体" w:cs="Times New Roman"/>
    </w:rPr>
  </w:style>
  <w:style w:type="paragraph" w:customStyle="1" w:styleId="26">
    <w:name w:val="p0"/>
    <w:basedOn w:val="1"/>
    <w:qFormat/>
    <w:uiPriority w:val="0"/>
    <w:pPr>
      <w:widowControl/>
    </w:pPr>
    <w:rPr>
      <w:rFonts w:ascii="Times New Roman" w:hAnsi="Times New Roman" w:eastAsia="宋体" w:cs="Times New Roman"/>
      <w:kern w:val="0"/>
      <w:sz w:val="32"/>
      <w:szCs w:val="32"/>
      <w:lang w:bidi="ar-SA"/>
    </w:rPr>
  </w:style>
  <w:style w:type="paragraph" w:customStyle="1" w:styleId="27">
    <w:name w:val="BodyText"/>
    <w:basedOn w:val="1"/>
    <w:qFormat/>
    <w:uiPriority w:val="0"/>
    <w:pPr>
      <w:spacing w:after="120"/>
      <w:jc w:val="both"/>
      <w:textAlignment w:val="baseline"/>
    </w:pPr>
    <w:rPr>
      <w:rFonts w:ascii="Times New Roman" w:hAnsi="Times New Roman" w:eastAsia="宋体" w:cs="Times New Roman"/>
    </w:rPr>
  </w:style>
  <w:style w:type="character" w:customStyle="1" w:styleId="28">
    <w:name w:val="font21"/>
    <w:basedOn w:val="20"/>
    <w:qFormat/>
    <w:uiPriority w:val="0"/>
    <w:rPr>
      <w:rFonts w:ascii="仿宋_GB2312" w:hAnsi="Times New Roman" w:eastAsia="仿宋_GB2312" w:cs="仿宋_GB2312"/>
      <w:color w:val="000000"/>
      <w:sz w:val="24"/>
      <w:szCs w:val="24"/>
      <w:u w:val="none"/>
    </w:rPr>
  </w:style>
  <w:style w:type="character" w:customStyle="1" w:styleId="29">
    <w:name w:val="批注框文本 Char"/>
    <w:link w:val="9"/>
    <w:qFormat/>
    <w:uiPriority w:val="0"/>
    <w:rPr>
      <w:rFonts w:ascii="Calibri" w:hAnsi="Calibri" w:eastAsia="宋体" w:cs="Times New Roman"/>
      <w:kern w:val="2"/>
      <w:sz w:val="18"/>
      <w:szCs w:val="18"/>
    </w:rPr>
  </w:style>
  <w:style w:type="character" w:customStyle="1" w:styleId="30">
    <w:name w:val="font01"/>
    <w:basedOn w:val="20"/>
    <w:qFormat/>
    <w:uiPriority w:val="0"/>
    <w:rPr>
      <w:rFonts w:hint="eastAsia" w:ascii="宋体" w:hAnsi="宋体" w:eastAsia="宋体" w:cs="宋体"/>
      <w:color w:val="000000"/>
      <w:sz w:val="24"/>
      <w:szCs w:val="24"/>
      <w:u w:val="none"/>
    </w:rPr>
  </w:style>
  <w:style w:type="character" w:customStyle="1" w:styleId="31">
    <w:name w:val="日期 Char"/>
    <w:link w:val="8"/>
    <w:qFormat/>
    <w:uiPriority w:val="0"/>
    <w:rPr>
      <w:rFonts w:ascii="Times New Roman" w:hAnsi="Times New Roman" w:eastAsia="宋体" w:cs="Times New Roman"/>
      <w:kern w:val="2"/>
      <w:sz w:val="21"/>
      <w:szCs w:val="24"/>
    </w:rPr>
  </w:style>
  <w:style w:type="character" w:customStyle="1" w:styleId="32">
    <w:name w:val="页眉 Char"/>
    <w:link w:val="11"/>
    <w:qFormat/>
    <w:uiPriority w:val="0"/>
    <w:rPr>
      <w:rFonts w:ascii="Calibri" w:hAnsi="Calibri" w:eastAsia="宋体" w:cs="Times New Roman"/>
      <w:kern w:val="2"/>
      <w:sz w:val="18"/>
      <w:szCs w:val="18"/>
    </w:rPr>
  </w:style>
  <w:style w:type="paragraph" w:customStyle="1" w:styleId="33">
    <w:name w:val="Body Text Indent 21"/>
    <w:basedOn w:val="1"/>
    <w:qFormat/>
    <w:uiPriority w:val="0"/>
    <w:pPr>
      <w:spacing w:line="480" w:lineRule="auto"/>
      <w:ind w:left="420" w:leftChars="200"/>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9</Pages>
  <Words>4080</Words>
  <Characters>4146</Characters>
  <Lines>4</Lines>
  <Paragraphs>1</Paragraphs>
  <TotalTime>4</TotalTime>
  <ScaleCrop>false</ScaleCrop>
  <LinksUpToDate>false</LinksUpToDate>
  <CharactersWithSpaces>4155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2025-02-08T12:38:00Z</dcterms:created>
  <dc:creator>fan</dc:creator>
  <cp:lastModifiedBy>水是嘚瑟的冰</cp:lastModifiedBy>
  <cp:lastPrinted>2025-01-21T10:48:00Z</cp:lastPrinted>
  <dcterms:modified xsi:type="dcterms:W3CDTF">2026-01-12T00:55:09Z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3A231557D22D4E48B3AFA767C2559923_13</vt:lpwstr>
  </property>
  <property fmtid="{D5CDD505-2E9C-101B-9397-08002B2CF9AE}" pid="4" name="KSOTemplateDocerSaveRecord">
    <vt:lpwstr>eyJoZGlkIjoiOGE4MGMwNjE1YTNiMTYzYmQ1NTAzMWYwY2Q0MzY3Y2EiLCJ1c2VySWQiOiIyNjI3NTE4ODYifQ==</vt:lpwstr>
  </property>
</Properties>
</file>