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9C1C">
      <w:pPr>
        <w:spacing w:line="360" w:lineRule="auto"/>
        <w:ind w:firstLine="0" w:firstLineChars="0"/>
        <w:outlineLvl w:val="0"/>
        <w:rPr>
          <w:rFonts w:ascii="黑体" w:hAnsi="黑体" w:eastAsia="黑体" w:cs="黑体"/>
          <w:spacing w:val="-7"/>
          <w:szCs w:val="32"/>
        </w:rPr>
      </w:pPr>
      <w:bookmarkStart w:id="0" w:name="_Toc4534"/>
      <w:bookmarkStart w:id="1" w:name="_Toc14121"/>
      <w:bookmarkStart w:id="2" w:name="_Toc90787244"/>
      <w:bookmarkStart w:id="3" w:name="_Toc25329"/>
      <w:bookmarkStart w:id="4" w:name="_Toc3179"/>
      <w:bookmarkStart w:id="5" w:name="_Toc19187"/>
      <w:bookmarkStart w:id="6" w:name="_Toc5509"/>
      <w:bookmarkStart w:id="7" w:name="_Toc28284"/>
      <w:r>
        <w:rPr>
          <w:rFonts w:hint="eastAsia" w:ascii="黑体" w:hAnsi="黑体" w:eastAsia="黑体" w:cs="黑体"/>
          <w:spacing w:val="-7"/>
          <w:szCs w:val="32"/>
        </w:rPr>
        <w:t>附件：</w:t>
      </w:r>
    </w:p>
    <w:p w14:paraId="32925AF5">
      <w:pPr>
        <w:spacing w:line="600" w:lineRule="exact"/>
        <w:ind w:firstLine="0" w:firstLineChars="0"/>
        <w:jc w:val="center"/>
        <w:outlineLvl w:val="0"/>
        <w:rPr>
          <w:rFonts w:ascii="Times New Roman" w:hAnsi="Times New Roman" w:eastAsia="方正小标宋简体" w:cs="Times New Roman"/>
          <w:spacing w:val="-7"/>
          <w:sz w:val="44"/>
          <w:szCs w:val="44"/>
        </w:rPr>
      </w:pPr>
      <w:r>
        <w:rPr>
          <w:rFonts w:ascii="Times New Roman" w:hAnsi="Times New Roman" w:eastAsia="方正小标宋简体" w:cs="Times New Roman"/>
          <w:spacing w:val="-7"/>
          <w:sz w:val="44"/>
          <w:szCs w:val="44"/>
        </w:rPr>
        <w:t>达拉特旗国民经济和社会发展第十四个五年</w:t>
      </w:r>
      <w:bookmarkEnd w:id="0"/>
      <w:bookmarkEnd w:id="1"/>
      <w:bookmarkEnd w:id="2"/>
      <w:bookmarkEnd w:id="3"/>
      <w:bookmarkEnd w:id="4"/>
      <w:bookmarkEnd w:id="5"/>
      <w:bookmarkEnd w:id="6"/>
      <w:bookmarkEnd w:id="7"/>
    </w:p>
    <w:p w14:paraId="33D4BAEE">
      <w:pPr>
        <w:spacing w:line="600" w:lineRule="exact"/>
        <w:ind w:firstLine="0" w:firstLineChars="0"/>
        <w:jc w:val="center"/>
        <w:outlineLvl w:val="0"/>
        <w:rPr>
          <w:rFonts w:ascii="Times New Roman" w:hAnsi="Times New Roman" w:eastAsia="方正小标宋简体" w:cs="Times New Roman"/>
          <w:spacing w:val="-7"/>
          <w:sz w:val="44"/>
          <w:szCs w:val="44"/>
        </w:rPr>
      </w:pPr>
      <w:bookmarkStart w:id="8" w:name="_Toc22262"/>
      <w:bookmarkStart w:id="9" w:name="_Toc6376"/>
      <w:bookmarkStart w:id="10" w:name="_Toc1147820538"/>
      <w:bookmarkStart w:id="11" w:name="_Toc19915"/>
      <w:bookmarkStart w:id="12" w:name="_Toc2775"/>
      <w:bookmarkStart w:id="13" w:name="_Toc20199"/>
      <w:bookmarkStart w:id="14" w:name="_Toc21245"/>
      <w:bookmarkStart w:id="15" w:name="_Toc2526"/>
      <w:r>
        <w:rPr>
          <w:rFonts w:ascii="Times New Roman" w:hAnsi="Times New Roman" w:eastAsia="方正小标宋简体" w:cs="Times New Roman"/>
          <w:spacing w:val="-7"/>
          <w:sz w:val="44"/>
          <w:szCs w:val="44"/>
        </w:rPr>
        <w:t>规划和</w:t>
      </w:r>
      <w:r>
        <w:rPr>
          <w:rFonts w:hint="eastAsia" w:ascii="Times New Roman" w:hAnsi="Times New Roman" w:eastAsia="方正小标宋简体" w:cs="Times New Roman"/>
          <w:sz w:val="44"/>
          <w:szCs w:val="44"/>
        </w:rPr>
        <w:t>2035</w:t>
      </w:r>
      <w:r>
        <w:rPr>
          <w:rFonts w:ascii="Times New Roman" w:hAnsi="Times New Roman" w:eastAsia="方正小标宋简体" w:cs="Times New Roman"/>
          <w:sz w:val="44"/>
          <w:szCs w:val="44"/>
        </w:rPr>
        <w:t>年远景目标</w:t>
      </w:r>
      <w:r>
        <w:rPr>
          <w:rFonts w:ascii="Times New Roman" w:hAnsi="Times New Roman" w:eastAsia="方正小标宋简体" w:cs="Times New Roman"/>
          <w:spacing w:val="-7"/>
          <w:sz w:val="44"/>
          <w:szCs w:val="44"/>
        </w:rPr>
        <w:t>纲要</w:t>
      </w:r>
      <w:bookmarkEnd w:id="8"/>
      <w:bookmarkEnd w:id="9"/>
      <w:bookmarkEnd w:id="10"/>
      <w:bookmarkEnd w:id="11"/>
      <w:bookmarkEnd w:id="12"/>
      <w:bookmarkEnd w:id="13"/>
      <w:bookmarkEnd w:id="14"/>
      <w:bookmarkEnd w:id="15"/>
    </w:p>
    <w:p w14:paraId="636C1514">
      <w:pPr>
        <w:spacing w:line="600" w:lineRule="exact"/>
        <w:ind w:firstLine="0" w:firstLineChars="0"/>
        <w:jc w:val="center"/>
        <w:rPr>
          <w:rFonts w:ascii="Times New Roman" w:hAnsi="Times New Roman" w:eastAsia="黑体" w:cs="Times New Roman"/>
          <w:b/>
          <w:bCs/>
          <w:szCs w:val="28"/>
        </w:rPr>
      </w:pPr>
    </w:p>
    <w:p w14:paraId="3F514FD9">
      <w:pPr>
        <w:spacing w:line="600" w:lineRule="exact"/>
        <w:ind w:firstLine="0" w:firstLineChars="0"/>
        <w:jc w:val="center"/>
        <w:rPr>
          <w:rFonts w:ascii="Times New Roman" w:hAnsi="Times New Roman" w:eastAsia="楷体_GB2312" w:cs="Times New Roman"/>
          <w:szCs w:val="28"/>
        </w:rPr>
      </w:pPr>
      <w:r>
        <w:rPr>
          <w:rFonts w:ascii="Times New Roman" w:hAnsi="Times New Roman" w:eastAsia="黑体" w:cs="Times New Roman"/>
          <w:b/>
          <w:bCs/>
          <w:szCs w:val="28"/>
        </w:rPr>
        <w:t>——</w:t>
      </w:r>
      <w:r>
        <w:rPr>
          <w:rFonts w:ascii="Times New Roman" w:hAnsi="Times New Roman" w:eastAsia="楷体_GB2312" w:cs="Times New Roman"/>
          <w:szCs w:val="28"/>
        </w:rPr>
        <w:t>202</w:t>
      </w:r>
      <w:r>
        <w:rPr>
          <w:rFonts w:ascii="Times New Roman" w:hAnsi="Times New Roman" w:eastAsia="楷体_GB2312" w:cs="Times New Roman"/>
          <w:szCs w:val="28"/>
          <w:lang w:val="en-US"/>
        </w:rPr>
        <w:t>1</w:t>
      </w:r>
      <w:r>
        <w:rPr>
          <w:rFonts w:ascii="Times New Roman" w:hAnsi="Times New Roman" w:eastAsia="楷体_GB2312" w:cs="Times New Roman"/>
          <w:szCs w:val="28"/>
        </w:rPr>
        <w:t>年</w:t>
      </w:r>
      <w:r>
        <w:rPr>
          <w:rFonts w:ascii="Times New Roman" w:hAnsi="Times New Roman" w:eastAsia="楷体_GB2312" w:cs="Times New Roman"/>
          <w:szCs w:val="28"/>
          <w:lang w:val="en-US"/>
        </w:rPr>
        <w:t>3</w:t>
      </w:r>
      <w:r>
        <w:rPr>
          <w:rFonts w:ascii="Times New Roman" w:hAnsi="Times New Roman" w:eastAsia="楷体_GB2312" w:cs="Times New Roman"/>
          <w:szCs w:val="28"/>
        </w:rPr>
        <w:t>月</w:t>
      </w:r>
      <w:r>
        <w:rPr>
          <w:rFonts w:ascii="Times New Roman" w:hAnsi="Times New Roman" w:eastAsia="楷体_GB2312" w:cs="Times New Roman"/>
          <w:szCs w:val="28"/>
          <w:lang w:val="en-US"/>
        </w:rPr>
        <w:t>16</w:t>
      </w:r>
      <w:r>
        <w:rPr>
          <w:rFonts w:ascii="Times New Roman" w:hAnsi="Times New Roman" w:eastAsia="楷体_GB2312" w:cs="Times New Roman"/>
          <w:szCs w:val="28"/>
        </w:rPr>
        <w:t>日在达拉特旗第十七届</w:t>
      </w:r>
    </w:p>
    <w:p w14:paraId="73ED49EA">
      <w:pPr>
        <w:spacing w:line="600" w:lineRule="exact"/>
        <w:ind w:firstLine="0" w:firstLineChars="0"/>
        <w:jc w:val="center"/>
        <w:rPr>
          <w:rFonts w:ascii="Times New Roman" w:hAnsi="Times New Roman" w:eastAsia="楷体_GB2312" w:cs="Times New Roman"/>
          <w:szCs w:val="28"/>
        </w:rPr>
      </w:pPr>
      <w:r>
        <w:rPr>
          <w:rFonts w:ascii="Times New Roman" w:hAnsi="Times New Roman" w:eastAsia="楷体_GB2312" w:cs="Times New Roman"/>
          <w:szCs w:val="28"/>
        </w:rPr>
        <w:t>人民代表大会第五次会议上</w:t>
      </w:r>
      <w:r>
        <w:rPr>
          <w:rFonts w:hint="eastAsia" w:ascii="Times New Roman" w:hAnsi="Times New Roman" w:eastAsia="楷体_GB2312" w:cs="Times New Roman"/>
          <w:szCs w:val="28"/>
        </w:rPr>
        <w:t>批准</w:t>
      </w:r>
    </w:p>
    <w:p w14:paraId="287F65A3">
      <w:pPr>
        <w:pStyle w:val="22"/>
        <w:ind w:firstLine="1687"/>
        <w:rPr>
          <w:rFonts w:ascii="Times New Roman" w:hAnsi="Times New Roman" w:cs="Times New Roman"/>
        </w:rPr>
      </w:pPr>
    </w:p>
    <w:p w14:paraId="11B89240">
      <w:pPr>
        <w:pStyle w:val="10"/>
        <w:spacing w:line="360" w:lineRule="auto"/>
        <w:ind w:left="7" w:firstLine="964"/>
        <w:rPr>
          <w:rFonts w:ascii="Times New Roman" w:hAnsi="Times New Roman" w:cs="Times New Roman"/>
          <w:b/>
          <w:sz w:val="48"/>
        </w:rPr>
      </w:pPr>
    </w:p>
    <w:p w14:paraId="150C0D0C">
      <w:pPr>
        <w:pStyle w:val="10"/>
        <w:spacing w:line="360" w:lineRule="auto"/>
        <w:ind w:left="7" w:firstLine="964"/>
        <w:rPr>
          <w:rFonts w:ascii="Times New Roman" w:hAnsi="Times New Roman" w:cs="Times New Roman"/>
          <w:b/>
          <w:sz w:val="48"/>
        </w:rPr>
      </w:pPr>
    </w:p>
    <w:p w14:paraId="7126E566">
      <w:pPr>
        <w:pStyle w:val="10"/>
        <w:spacing w:line="360" w:lineRule="auto"/>
        <w:ind w:left="7" w:firstLine="964"/>
        <w:rPr>
          <w:rFonts w:ascii="Times New Roman" w:hAnsi="Times New Roman" w:cs="Times New Roman"/>
          <w:b/>
          <w:sz w:val="48"/>
        </w:rPr>
      </w:pPr>
    </w:p>
    <w:p w14:paraId="13265621">
      <w:pPr>
        <w:pStyle w:val="10"/>
        <w:spacing w:line="360" w:lineRule="auto"/>
        <w:ind w:left="7" w:firstLine="643"/>
        <w:rPr>
          <w:rFonts w:ascii="Times New Roman" w:hAnsi="Times New Roman" w:cs="Times New Roman"/>
          <w:b/>
          <w:sz w:val="32"/>
          <w:szCs w:val="32"/>
        </w:rPr>
      </w:pPr>
    </w:p>
    <w:p w14:paraId="4EBBD023">
      <w:pPr>
        <w:pStyle w:val="10"/>
        <w:spacing w:line="360" w:lineRule="auto"/>
        <w:ind w:left="7" w:firstLine="643"/>
        <w:rPr>
          <w:rFonts w:ascii="Times New Roman" w:hAnsi="Times New Roman" w:cs="Times New Roman"/>
          <w:b/>
          <w:sz w:val="32"/>
          <w:szCs w:val="32"/>
        </w:rPr>
      </w:pPr>
    </w:p>
    <w:p w14:paraId="51302332">
      <w:pPr>
        <w:pStyle w:val="10"/>
        <w:spacing w:line="360" w:lineRule="auto"/>
        <w:ind w:left="7" w:firstLine="643"/>
        <w:rPr>
          <w:rFonts w:ascii="Times New Roman" w:hAnsi="Times New Roman" w:cs="Times New Roman"/>
          <w:b/>
          <w:sz w:val="32"/>
          <w:szCs w:val="32"/>
        </w:rPr>
      </w:pPr>
    </w:p>
    <w:p w14:paraId="1A764DE6">
      <w:pPr>
        <w:pStyle w:val="10"/>
        <w:spacing w:line="360" w:lineRule="auto"/>
        <w:ind w:left="7" w:firstLine="643"/>
        <w:rPr>
          <w:rFonts w:ascii="Times New Roman" w:hAnsi="Times New Roman" w:cs="Times New Roman"/>
          <w:b/>
          <w:sz w:val="32"/>
          <w:szCs w:val="32"/>
        </w:rPr>
      </w:pPr>
    </w:p>
    <w:p w14:paraId="0ECEC7D4">
      <w:pPr>
        <w:pStyle w:val="10"/>
        <w:spacing w:line="360" w:lineRule="auto"/>
        <w:ind w:left="7" w:firstLine="643"/>
        <w:rPr>
          <w:rFonts w:ascii="Times New Roman" w:hAnsi="Times New Roman" w:cs="Times New Roman"/>
          <w:b/>
          <w:sz w:val="32"/>
          <w:szCs w:val="32"/>
        </w:rPr>
      </w:pPr>
    </w:p>
    <w:p w14:paraId="613F775B">
      <w:pPr>
        <w:pStyle w:val="10"/>
        <w:spacing w:line="360" w:lineRule="auto"/>
        <w:ind w:left="7" w:firstLine="643"/>
        <w:rPr>
          <w:rFonts w:ascii="Times New Roman" w:hAnsi="Times New Roman" w:cs="Times New Roman"/>
          <w:b/>
          <w:sz w:val="32"/>
          <w:szCs w:val="32"/>
        </w:rPr>
      </w:pPr>
    </w:p>
    <w:p w14:paraId="004219DC">
      <w:pPr>
        <w:pStyle w:val="10"/>
        <w:spacing w:line="360" w:lineRule="auto"/>
        <w:ind w:left="7" w:firstLine="643"/>
        <w:rPr>
          <w:rFonts w:ascii="Times New Roman" w:hAnsi="Times New Roman" w:cs="Times New Roman"/>
          <w:b/>
          <w:sz w:val="32"/>
          <w:szCs w:val="32"/>
        </w:rPr>
      </w:pPr>
    </w:p>
    <w:p w14:paraId="616D7AC6">
      <w:pPr>
        <w:pStyle w:val="10"/>
        <w:spacing w:line="360" w:lineRule="auto"/>
        <w:ind w:left="0" w:firstLine="0" w:firstLineChars="0"/>
        <w:rPr>
          <w:rFonts w:ascii="Times New Roman" w:hAnsi="Times New Roman" w:cs="Times New Roman"/>
          <w:b/>
          <w:sz w:val="33"/>
        </w:rPr>
      </w:pPr>
    </w:p>
    <w:p w14:paraId="1C79A741">
      <w:pPr>
        <w:spacing w:line="360" w:lineRule="auto"/>
        <w:ind w:firstLine="640"/>
        <w:jc w:val="center"/>
        <w:rPr>
          <w:rFonts w:ascii="Times New Roman" w:hAnsi="Times New Roman" w:eastAsia="楷体" w:cs="Times New Roman"/>
          <w:color w:val="000007"/>
          <w:szCs w:val="32"/>
        </w:rPr>
      </w:pPr>
      <w:r>
        <w:rPr>
          <w:rFonts w:ascii="Times New Roman" w:hAnsi="Times New Roman" w:eastAsia="楷体" w:cs="Times New Roman"/>
          <w:color w:val="000007"/>
          <w:szCs w:val="32"/>
        </w:rPr>
        <w:t>达拉特旗人民政府</w:t>
      </w:r>
    </w:p>
    <w:p w14:paraId="1C427BF0">
      <w:pPr>
        <w:spacing w:line="360" w:lineRule="auto"/>
        <w:ind w:left="7" w:firstLine="640"/>
        <w:jc w:val="center"/>
        <w:rPr>
          <w:rFonts w:ascii="Times New Roman" w:hAnsi="Times New Roman" w:eastAsia="楷体" w:cs="Times New Roman"/>
          <w:color w:val="000007"/>
          <w:szCs w:val="32"/>
        </w:rPr>
      </w:pPr>
      <w:r>
        <w:rPr>
          <w:rFonts w:ascii="Times New Roman" w:hAnsi="Times New Roman" w:eastAsia="楷体" w:cs="Times New Roman"/>
          <w:color w:val="000007"/>
          <w:szCs w:val="32"/>
        </w:rPr>
        <w:t>二零二一年三月</w:t>
      </w:r>
    </w:p>
    <w:p w14:paraId="21DE6EE4">
      <w:pPr>
        <w:spacing w:line="360" w:lineRule="auto"/>
        <w:ind w:left="7" w:firstLine="640"/>
        <w:jc w:val="center"/>
        <w:rPr>
          <w:rFonts w:ascii="Times New Roman" w:hAnsi="Times New Roman" w:eastAsia="楷体" w:cs="Times New Roman"/>
          <w:color w:val="000007"/>
          <w:szCs w:val="32"/>
        </w:rPr>
        <w:sectPr>
          <w:headerReference r:id="rId7" w:type="first"/>
          <w:footerReference r:id="rId10" w:type="first"/>
          <w:headerReference r:id="rId5" w:type="default"/>
          <w:footerReference r:id="rId8" w:type="default"/>
          <w:headerReference r:id="rId6" w:type="even"/>
          <w:footerReference r:id="rId9" w:type="even"/>
          <w:pgSz w:w="11910" w:h="16840"/>
          <w:pgMar w:top="1587" w:right="1474" w:bottom="1474" w:left="1588" w:header="720" w:footer="720" w:gutter="0"/>
          <w:cols w:space="720" w:num="1"/>
        </w:sectPr>
      </w:pPr>
    </w:p>
    <w:sdt>
      <w:sdtPr>
        <w:rPr>
          <w:rFonts w:ascii="Times New Roman" w:hAnsi="Times New Roman" w:eastAsia="宋体" w:cs="Times New Roman"/>
          <w:sz w:val="30"/>
          <w:szCs w:val="30"/>
        </w:rPr>
        <w:id w:val="147471362"/>
      </w:sdtPr>
      <w:sdtEndPr>
        <w:rPr>
          <w:rFonts w:ascii="Times New Roman" w:hAnsi="Times New Roman" w:eastAsia="仿宋" w:cs="Times New Roman"/>
          <w:b/>
          <w:sz w:val="32"/>
          <w:szCs w:val="32"/>
        </w:rPr>
      </w:sdtEndPr>
      <w:sdtContent>
        <w:p w14:paraId="51371838">
          <w:pPr>
            <w:spacing w:line="560" w:lineRule="exact"/>
            <w:ind w:firstLine="600"/>
            <w:jc w:val="center"/>
            <w:outlineLvl w:val="0"/>
            <w:rPr>
              <w:rFonts w:ascii="Times New Roman" w:hAnsi="Times New Roman" w:cs="Times New Roman"/>
              <w:szCs w:val="32"/>
            </w:rPr>
          </w:pPr>
          <w:bookmarkStart w:id="16" w:name="_Toc12031"/>
          <w:bookmarkStart w:id="17" w:name="_Toc9528"/>
          <w:bookmarkStart w:id="18" w:name="_Toc7821"/>
          <w:bookmarkStart w:id="19" w:name="_Toc17561"/>
          <w:bookmarkStart w:id="20" w:name="_Toc574181165"/>
          <w:bookmarkStart w:id="21" w:name="_Toc32622"/>
          <w:bookmarkStart w:id="22" w:name="_Toc26443"/>
          <w:r>
            <w:rPr>
              <w:rFonts w:ascii="Times New Roman" w:hAnsi="Times New Roman" w:eastAsia="宋体" w:cs="Times New Roman"/>
              <w:b/>
              <w:bCs/>
              <w:sz w:val="44"/>
              <w:szCs w:val="44"/>
            </w:rPr>
            <w:t>目录</w:t>
          </w:r>
          <w:bookmarkEnd w:id="16"/>
          <w:bookmarkEnd w:id="17"/>
          <w:bookmarkEnd w:id="18"/>
          <w:bookmarkEnd w:id="19"/>
          <w:bookmarkEnd w:id="20"/>
          <w:bookmarkEnd w:id="21"/>
          <w:bookmarkEnd w:id="22"/>
          <w:r>
            <w:rPr>
              <w:rFonts w:ascii="Times New Roman" w:hAnsi="Times New Roman" w:cs="Times New Roman"/>
              <w:szCs w:val="32"/>
            </w:rPr>
            <w:fldChar w:fldCharType="begin"/>
          </w:r>
          <w:r>
            <w:rPr>
              <w:rFonts w:ascii="Times New Roman" w:hAnsi="Times New Roman" w:cs="Times New Roman"/>
              <w:szCs w:val="32"/>
            </w:rPr>
            <w:instrText xml:space="preserve">TOC \o "1-2" \h \u </w:instrText>
          </w:r>
          <w:r>
            <w:rPr>
              <w:rFonts w:ascii="Times New Roman" w:hAnsi="Times New Roman" w:cs="Times New Roman"/>
              <w:szCs w:val="32"/>
            </w:rPr>
            <w:fldChar w:fldCharType="separate"/>
          </w:r>
        </w:p>
        <w:p w14:paraId="402BCCE7">
          <w:pPr>
            <w:pStyle w:val="17"/>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"_Toc14215" </w:instrText>
          </w:r>
          <w:r>
            <w:fldChar w:fldCharType="separate"/>
          </w:r>
          <w:r>
            <w:rPr>
              <w:rFonts w:hint="eastAsia" w:ascii="黑体" w:hAnsi="黑体" w:eastAsia="黑体" w:cs="黑体"/>
              <w:sz w:val="32"/>
              <w:szCs w:val="32"/>
              <w:shd w:val="clear" w:color="auto" w:fill="FFFFFF"/>
              <w:lang w:val="en-US"/>
            </w:rPr>
            <w:t>第一章“十三五”发展回顾</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_Toc14215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21C6AAD">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"_Toc23884" </w:instrText>
          </w:r>
          <w:r>
            <w:fldChar w:fldCharType="separate"/>
          </w:r>
          <w:r>
            <w:rPr>
              <w:rFonts w:hint="eastAsia" w:ascii="仿宋_GB2312" w:hAnsi="仿宋_GB2312" w:eastAsia="仿宋_GB2312" w:cs="仿宋_GB2312"/>
              <w:sz w:val="32"/>
              <w:szCs w:val="32"/>
            </w:rPr>
            <w:t>第一节 发展成就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0A5CE8">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"_Toc4799" </w:instrText>
          </w:r>
          <w:r>
            <w:fldChar w:fldCharType="separate"/>
          </w:r>
          <w:r>
            <w:rPr>
              <w:rFonts w:hint="eastAsia" w:ascii="仿宋_GB2312" w:hAnsi="仿宋_GB2312" w:eastAsia="仿宋_GB2312" w:cs="仿宋_GB2312"/>
              <w:sz w:val="32"/>
              <w:szCs w:val="32"/>
            </w:rPr>
            <w:t>第二节 主要问题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E65E0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"_Toc2897" </w:instrText>
          </w:r>
          <w:r>
            <w:fldChar w:fldCharType="separate"/>
          </w:r>
          <w:r>
            <w:rPr>
              <w:rFonts w:hint="eastAsia" w:ascii="黑体" w:hAnsi="黑体" w:eastAsia="黑体" w:cs="黑体"/>
              <w:sz w:val="32"/>
              <w:szCs w:val="32"/>
              <w:shd w:val="clear" w:color="auto" w:fill="FFFFFF"/>
              <w:lang w:val="en-US"/>
            </w:rPr>
            <w:t>第二章“十四五”发展环境</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_Toc2897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8560271">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"_Toc28489" </w:instrText>
          </w:r>
          <w:r>
            <w:fldChar w:fldCharType="separate"/>
          </w:r>
          <w:r>
            <w:rPr>
              <w:rFonts w:hint="eastAsia" w:ascii="仿宋_GB2312" w:hAnsi="仿宋_GB2312" w:eastAsia="仿宋_GB2312" w:cs="仿宋_GB2312"/>
              <w:sz w:val="32"/>
              <w:szCs w:val="32"/>
            </w:rPr>
            <w:t>第一节 发展机遇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F2A22C">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"_Toc20742" </w:instrText>
          </w:r>
          <w:r>
            <w:fldChar w:fldCharType="separate"/>
          </w:r>
          <w:r>
            <w:rPr>
              <w:rFonts w:hint="eastAsia" w:ascii="仿宋_GB2312" w:hAnsi="仿宋_GB2312" w:eastAsia="仿宋_GB2312" w:cs="仿宋_GB2312"/>
              <w:sz w:val="32"/>
              <w:szCs w:val="32"/>
              <w:lang w:val="en-US"/>
            </w:rPr>
            <w:t xml:space="preserve">第二节 </w:t>
          </w:r>
          <w:r>
            <w:rPr>
              <w:rFonts w:hint="eastAsia" w:ascii="仿宋_GB2312" w:hAnsi="仿宋_GB2312" w:eastAsia="仿宋_GB2312" w:cs="仿宋_GB2312"/>
              <w:sz w:val="32"/>
              <w:szCs w:val="32"/>
            </w:rPr>
            <w:t>面临的挑战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9FC7E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"_Toc24268" </w:instrText>
          </w:r>
          <w:r>
            <w:fldChar w:fldCharType="separate"/>
          </w:r>
          <w:r>
            <w:rPr>
              <w:rFonts w:hint="eastAsia" w:ascii="黑体" w:hAnsi="黑体" w:eastAsia="黑体" w:cs="黑体"/>
              <w:sz w:val="32"/>
              <w:szCs w:val="32"/>
              <w:shd w:val="clear" w:color="auto" w:fill="FFFFFF"/>
              <w:lang w:val="en-US"/>
            </w:rPr>
            <w:t>第三章 总体思路和发展目标</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_Toc24268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F9F632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"_Toc18611" </w:instrText>
          </w:r>
          <w:r>
            <w:fldChar w:fldCharType="separate"/>
          </w:r>
          <w:r>
            <w:rPr>
              <w:rFonts w:hint="eastAsia" w:ascii="仿宋_GB2312" w:hAnsi="仿宋_GB2312" w:eastAsia="仿宋_GB2312" w:cs="仿宋_GB2312"/>
              <w:sz w:val="32"/>
              <w:szCs w:val="32"/>
            </w:rPr>
            <w:t>第一节 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A7742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"_Toc3271" </w:instrText>
          </w:r>
          <w:r>
            <w:fldChar w:fldCharType="separate"/>
          </w:r>
          <w:r>
            <w:rPr>
              <w:rFonts w:hint="eastAsia" w:ascii="仿宋_GB2312" w:hAnsi="仿宋_GB2312" w:eastAsia="仿宋_GB2312" w:cs="仿宋_GB2312"/>
              <w:sz w:val="32"/>
              <w:szCs w:val="32"/>
            </w:rPr>
            <w:t>第二节 基本原则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B9FA96">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"_Toc18660" </w:instrText>
          </w:r>
          <w:r>
            <w:fldChar w:fldCharType="separate"/>
          </w:r>
          <w:r>
            <w:rPr>
              <w:rFonts w:hint="eastAsia" w:ascii="仿宋_GB2312" w:hAnsi="仿宋_GB2312" w:eastAsia="仿宋_GB2312" w:cs="仿宋_GB2312"/>
              <w:sz w:val="32"/>
              <w:szCs w:val="32"/>
            </w:rPr>
            <w:t>第三节 发展目标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77904C">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"_Toc4721" </w:instrText>
          </w:r>
          <w:r>
            <w:fldChar w:fldCharType="separate"/>
          </w:r>
          <w:r>
            <w:rPr>
              <w:rFonts w:hint="eastAsia" w:ascii="黑体" w:hAnsi="黑体" w:eastAsia="黑体" w:cs="黑体"/>
              <w:sz w:val="32"/>
              <w:szCs w:val="32"/>
              <w:shd w:val="clear" w:color="auto" w:fill="FFFFFF"/>
              <w:lang w:val="en-US"/>
            </w:rPr>
            <w:t>第四章 加快发展现代产业体系，提升综合经济实力</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_Toc4721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5817BB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"_Toc4781" </w:instrText>
          </w:r>
          <w:r>
            <w:fldChar w:fldCharType="separate"/>
          </w:r>
          <w:r>
            <w:rPr>
              <w:rFonts w:hint="eastAsia" w:ascii="仿宋_GB2312" w:hAnsi="仿宋_GB2312" w:eastAsia="仿宋_GB2312" w:cs="仿宋_GB2312"/>
              <w:sz w:val="32"/>
              <w:szCs w:val="32"/>
            </w:rPr>
            <w:t>第一节实施大农业革命，大力提升农牧业核心竞争力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35BC1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"_Toc30573" </w:instrText>
          </w:r>
          <w:r>
            <w:fldChar w:fldCharType="separate"/>
          </w:r>
          <w:r>
            <w:rPr>
              <w:rFonts w:hint="eastAsia" w:ascii="仿宋_GB2312" w:hAnsi="仿宋_GB2312" w:eastAsia="仿宋_GB2312" w:cs="仿宋_GB2312"/>
              <w:sz w:val="32"/>
              <w:szCs w:val="32"/>
            </w:rPr>
            <w:t>第二节 推进大工业循环，全</w:t>
          </w:r>
          <w:r>
            <w:rPr>
              <w:rFonts w:hint="eastAsia" w:ascii="仿宋_GB2312" w:hAnsi="仿宋_GB2312" w:eastAsia="仿宋_GB2312" w:cs="仿宋_GB2312"/>
              <w:sz w:val="32"/>
              <w:szCs w:val="32"/>
              <w:lang w:val="en-US"/>
            </w:rPr>
            <w:t>速培育</w:t>
          </w:r>
          <w:r>
            <w:rPr>
              <w:rFonts w:hint="eastAsia" w:ascii="仿宋_GB2312" w:hAnsi="仿宋_GB2312" w:eastAsia="仿宋_GB2312" w:cs="仿宋_GB2312"/>
              <w:sz w:val="32"/>
              <w:szCs w:val="32"/>
            </w:rPr>
            <w:t>现代</w:t>
          </w:r>
          <w:r>
            <w:rPr>
              <w:rFonts w:hint="eastAsia" w:ascii="仿宋_GB2312" w:hAnsi="仿宋_GB2312" w:eastAsia="仿宋_GB2312" w:cs="仿宋_GB2312"/>
              <w:sz w:val="32"/>
              <w:szCs w:val="32"/>
              <w:lang w:val="en-US"/>
            </w:rPr>
            <w:t>能源</w:t>
          </w:r>
          <w:r>
            <w:rPr>
              <w:rFonts w:hint="eastAsia" w:ascii="仿宋_GB2312" w:hAnsi="仿宋_GB2312" w:eastAsia="仿宋_GB2312" w:cs="仿宋_GB2312"/>
              <w:sz w:val="32"/>
              <w:szCs w:val="32"/>
            </w:rPr>
            <w:t>产业集群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_Toc30573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4AC68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"_Toc9831" </w:instrText>
          </w:r>
          <w:r>
            <w:fldChar w:fldCharType="separate"/>
          </w:r>
          <w:r>
            <w:rPr>
              <w:rFonts w:hint="eastAsia" w:ascii="仿宋_GB2312" w:hAnsi="仿宋_GB2312" w:eastAsia="仿宋_GB2312" w:cs="仿宋_GB2312"/>
              <w:sz w:val="32"/>
              <w:szCs w:val="32"/>
            </w:rPr>
            <w:t>第三节 构建大旅游格局，加快</w:t>
          </w:r>
          <w:r>
            <w:rPr>
              <w:rFonts w:hint="eastAsia" w:ascii="仿宋_GB2312" w:hAnsi="仿宋_GB2312" w:eastAsia="仿宋_GB2312" w:cs="仿宋_GB2312"/>
              <w:sz w:val="32"/>
              <w:szCs w:val="32"/>
              <w:lang w:val="en-US"/>
            </w:rPr>
            <w:t>健全</w:t>
          </w:r>
          <w:r>
            <w:rPr>
              <w:rFonts w:hint="eastAsia" w:ascii="仿宋_GB2312" w:hAnsi="仿宋_GB2312" w:eastAsia="仿宋_GB2312" w:cs="仿宋_GB2312"/>
              <w:sz w:val="32"/>
              <w:szCs w:val="32"/>
            </w:rPr>
            <w:t>多元旅游产品谱系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619A84">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"_Toc31742" </w:instrText>
          </w:r>
          <w:r>
            <w:fldChar w:fldCharType="separate"/>
          </w:r>
          <w:r>
            <w:rPr>
              <w:rFonts w:hint="eastAsia" w:ascii="仿宋_GB2312" w:hAnsi="仿宋_GB2312" w:eastAsia="仿宋_GB2312" w:cs="仿宋_GB2312"/>
              <w:sz w:val="32"/>
              <w:szCs w:val="32"/>
            </w:rPr>
            <w:t xml:space="preserve">第四节 </w:t>
          </w:r>
          <w:r>
            <w:rPr>
              <w:rFonts w:hint="eastAsia" w:ascii="仿宋_GB2312" w:hAnsi="仿宋_GB2312" w:eastAsia="仿宋_GB2312" w:cs="仿宋_GB2312"/>
              <w:sz w:val="32"/>
              <w:szCs w:val="32"/>
              <w:lang w:val="en-US"/>
            </w:rPr>
            <w:t>加强</w:t>
          </w:r>
          <w:r>
            <w:rPr>
              <w:rFonts w:hint="eastAsia" w:ascii="仿宋_GB2312" w:hAnsi="仿宋_GB2312" w:eastAsia="仿宋_GB2312" w:cs="仿宋_GB2312"/>
              <w:sz w:val="32"/>
              <w:szCs w:val="32"/>
            </w:rPr>
            <w:t>大服务配套，</w:t>
          </w:r>
          <w:r>
            <w:rPr>
              <w:rFonts w:hint="eastAsia" w:ascii="仿宋_GB2312" w:hAnsi="仿宋_GB2312" w:eastAsia="仿宋_GB2312" w:cs="仿宋_GB2312"/>
              <w:sz w:val="32"/>
              <w:szCs w:val="32"/>
              <w:lang w:val="en-US"/>
            </w:rPr>
            <w:t>全力完善生产生活服务体系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BFBFFF">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"_Toc9497" </w:instrText>
          </w:r>
          <w:r>
            <w:fldChar w:fldCharType="separate"/>
          </w:r>
          <w:r>
            <w:rPr>
              <w:rFonts w:hint="eastAsia" w:ascii="仿宋_GB2312" w:hAnsi="仿宋_GB2312" w:eastAsia="仿宋_GB2312" w:cs="仿宋_GB2312"/>
              <w:sz w:val="32"/>
              <w:szCs w:val="32"/>
            </w:rPr>
            <w:t>第五节 培育大数字经济，推动经济社会发展赋能升级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EEF5F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"_Toc30682" </w:instrText>
          </w:r>
          <w:r>
            <w:fldChar w:fldCharType="separate"/>
          </w:r>
          <w:r>
            <w:rPr>
              <w:rFonts w:hint="eastAsia" w:ascii="黑体" w:hAnsi="黑体" w:eastAsia="黑体" w:cs="黑体"/>
              <w:sz w:val="32"/>
              <w:szCs w:val="32"/>
              <w:shd w:val="clear" w:color="auto" w:fill="FFFFFF"/>
              <w:lang w:val="en-US"/>
            </w:rPr>
            <w:t>第五章大力推动改革创新，全面塑造发展新优势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_Toc30682 \h </w:instrText>
          </w:r>
          <w:r>
            <w:rPr>
              <w:rFonts w:hint="eastAsia" w:ascii="黑体" w:hAnsi="黑体" w:eastAsia="黑体" w:cs="黑体"/>
              <w:sz w:val="32"/>
              <w:szCs w:val="32"/>
            </w:rPr>
            <w:fldChar w:fldCharType="separate"/>
          </w:r>
          <w:r>
            <w:rPr>
              <w:rFonts w:hint="eastAsia" w:ascii="黑体" w:hAnsi="黑体" w:eastAsia="黑体" w:cs="黑体"/>
              <w:sz w:val="32"/>
              <w:szCs w:val="32"/>
            </w:rPr>
            <w:t>41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DC837D9">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"_Toc29262"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一</w:t>
          </w:r>
          <w:r>
            <w:rPr>
              <w:rFonts w:hint="eastAsia" w:ascii="仿宋_GB2312" w:hAnsi="仿宋_GB2312" w:eastAsia="仿宋_GB2312" w:cs="仿宋_GB2312"/>
              <w:sz w:val="32"/>
              <w:szCs w:val="32"/>
            </w:rPr>
            <w:t xml:space="preserve">节 </w:t>
          </w:r>
          <w:r>
            <w:rPr>
              <w:rFonts w:hint="eastAsia" w:ascii="仿宋_GB2312" w:hAnsi="仿宋_GB2312" w:eastAsia="仿宋_GB2312" w:cs="仿宋_GB2312"/>
              <w:sz w:val="32"/>
              <w:szCs w:val="32"/>
              <w:lang w:val="en-US"/>
            </w:rPr>
            <w:t>持续</w:t>
          </w:r>
          <w:r>
            <w:rPr>
              <w:rFonts w:hint="eastAsia" w:ascii="仿宋_GB2312" w:hAnsi="仿宋_GB2312" w:eastAsia="仿宋_GB2312" w:cs="仿宋_GB2312"/>
              <w:sz w:val="32"/>
              <w:szCs w:val="32"/>
            </w:rPr>
            <w:t>深化各领域改革</w:t>
          </w:r>
          <w:r>
            <w:rPr>
              <w:rFonts w:hint="eastAsia" w:ascii="仿宋_GB2312" w:hAnsi="仿宋_GB2312" w:eastAsia="仿宋_GB2312" w:cs="仿宋_GB2312"/>
              <w:sz w:val="32"/>
              <w:szCs w:val="32"/>
              <w:lang w:val="en-US"/>
            </w:rPr>
            <w:t>，全面优化营商环境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D51F80">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"_Toc21495"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节 激发人才创新活力，建设高水平人才队伍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B206FF">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"_Toc89"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 xml:space="preserve">节 </w:t>
          </w:r>
          <w:r>
            <w:rPr>
              <w:rFonts w:hint="eastAsia" w:ascii="仿宋_GB2312" w:hAnsi="仿宋_GB2312" w:eastAsia="仿宋_GB2312" w:cs="仿宋_GB2312"/>
              <w:sz w:val="32"/>
              <w:szCs w:val="32"/>
              <w:lang w:val="en-US"/>
            </w:rPr>
            <w:t>大力推进创新创业</w:t>
          </w:r>
          <w:r>
            <w:rPr>
              <w:rFonts w:hint="eastAsia" w:ascii="仿宋_GB2312" w:hAnsi="仿宋_GB2312" w:eastAsia="仿宋_GB2312" w:cs="仿宋_GB2312"/>
              <w:sz w:val="32"/>
              <w:szCs w:val="32"/>
            </w:rPr>
            <w:t>，增强发展内生动力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7CADE9">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"_Toc31181"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四</w:t>
          </w:r>
          <w:r>
            <w:rPr>
              <w:rFonts w:hint="eastAsia" w:ascii="仿宋_GB2312" w:hAnsi="仿宋_GB2312" w:eastAsia="仿宋_GB2312" w:cs="仿宋_GB2312"/>
              <w:sz w:val="32"/>
              <w:szCs w:val="32"/>
            </w:rPr>
            <w:t>节 加强知识产权保护，提升</w:t>
          </w:r>
          <w:r>
            <w:rPr>
              <w:rFonts w:hint="eastAsia" w:ascii="仿宋_GB2312" w:hAnsi="仿宋_GB2312" w:eastAsia="仿宋_GB2312" w:cs="仿宋_GB2312"/>
              <w:sz w:val="32"/>
              <w:szCs w:val="32"/>
              <w:lang w:val="en-US"/>
            </w:rPr>
            <w:t>科技成果转化支撑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81AE24">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"_Toc31127" </w:instrText>
          </w:r>
          <w: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五</w:t>
          </w:r>
          <w:r>
            <w:rPr>
              <w:rFonts w:hint="eastAsia" w:ascii="仿宋_GB2312" w:hAnsi="仿宋_GB2312" w:eastAsia="仿宋_GB2312" w:cs="仿宋_GB2312"/>
              <w:sz w:val="32"/>
              <w:szCs w:val="32"/>
            </w:rPr>
            <w:t>节 加强质量体系建设，全面塑造品牌达拉特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015AA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"_Toc15867" </w:instrText>
          </w:r>
          <w:r>
            <w:fldChar w:fldCharType="separate"/>
          </w:r>
          <w:r>
            <w:rPr>
              <w:rFonts w:hint="eastAsia" w:ascii="黑体" w:hAnsi="黑体" w:eastAsia="黑体" w:cs="黑体"/>
              <w:sz w:val="32"/>
              <w:szCs w:val="32"/>
              <w:shd w:val="clear" w:color="auto" w:fill="FFFFFF"/>
              <w:lang w:val="en-US"/>
            </w:rPr>
            <w:t>第六章 全面融入双循环体系，构建高水平开放新格局</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_Toc15867 \h </w:instrText>
          </w:r>
          <w:r>
            <w:rPr>
              <w:rFonts w:hint="eastAsia" w:ascii="黑体" w:hAnsi="黑体" w:eastAsia="黑体" w:cs="黑体"/>
              <w:sz w:val="32"/>
              <w:szCs w:val="32"/>
            </w:rPr>
            <w:fldChar w:fldCharType="separate"/>
          </w:r>
          <w:r>
            <w:rPr>
              <w:rFonts w:hint="eastAsia" w:ascii="黑体" w:hAnsi="黑体" w:eastAsia="黑体" w:cs="黑体"/>
              <w:sz w:val="32"/>
              <w:szCs w:val="32"/>
            </w:rPr>
            <w:t>50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C035F6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"_Toc19703" </w:instrText>
          </w:r>
          <w:r>
            <w:fldChar w:fldCharType="separate"/>
          </w:r>
          <w:r>
            <w:rPr>
              <w:rFonts w:hint="eastAsia" w:ascii="仿宋_GB2312" w:hAnsi="仿宋_GB2312" w:eastAsia="仿宋_GB2312" w:cs="仿宋_GB2312"/>
              <w:sz w:val="32"/>
              <w:szCs w:val="32"/>
            </w:rPr>
            <w:t>第一节 扩大优质消费供给，激发内循环市场潜力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9255A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"_Toc21823" </w:instrText>
          </w:r>
          <w:r>
            <w:fldChar w:fldCharType="separate"/>
          </w:r>
          <w:r>
            <w:rPr>
              <w:rFonts w:hint="eastAsia" w:ascii="仿宋_GB2312" w:hAnsi="仿宋_GB2312" w:eastAsia="仿宋_GB2312" w:cs="仿宋_GB2312"/>
              <w:sz w:val="32"/>
              <w:szCs w:val="32"/>
            </w:rPr>
            <w:t xml:space="preserve">第二节 </w:t>
          </w:r>
          <w:r>
            <w:rPr>
              <w:rFonts w:hint="eastAsia" w:ascii="仿宋_GB2312" w:hAnsi="仿宋_GB2312" w:eastAsia="仿宋_GB2312" w:cs="仿宋_GB2312"/>
              <w:sz w:val="32"/>
              <w:szCs w:val="32"/>
              <w:lang w:val="en-US"/>
            </w:rPr>
            <w:t>健全现代流通体系</w:t>
          </w:r>
          <w:r>
            <w:rPr>
              <w:rFonts w:hint="eastAsia" w:ascii="仿宋_GB2312" w:hAnsi="仿宋_GB2312" w:eastAsia="仿宋_GB2312" w:cs="仿宋_GB2312"/>
              <w:sz w:val="32"/>
              <w:szCs w:val="32"/>
            </w:rPr>
            <w:t>，厚植门户节点优势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EAEAB9">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"_Toc32673" </w:instrText>
          </w:r>
          <w:r>
            <w:fldChar w:fldCharType="separate"/>
          </w:r>
          <w:r>
            <w:rPr>
              <w:rFonts w:hint="eastAsia" w:ascii="仿宋_GB2312" w:hAnsi="仿宋_GB2312" w:eastAsia="仿宋_GB2312" w:cs="仿宋_GB2312"/>
              <w:sz w:val="32"/>
              <w:szCs w:val="32"/>
            </w:rPr>
            <w:t xml:space="preserve">第三节 </w:t>
          </w:r>
          <w:r>
            <w:rPr>
              <w:rFonts w:hint="eastAsia" w:ascii="仿宋_GB2312" w:hAnsi="仿宋_GB2312" w:eastAsia="仿宋_GB2312" w:cs="仿宋_GB2312"/>
              <w:sz w:val="32"/>
              <w:szCs w:val="32"/>
              <w:lang w:val="en-US"/>
            </w:rPr>
            <w:t>拓展开放合作空间</w:t>
          </w:r>
          <w:r>
            <w:rPr>
              <w:rFonts w:hint="eastAsia" w:ascii="仿宋_GB2312" w:hAnsi="仿宋_GB2312" w:eastAsia="仿宋_GB2312" w:cs="仿宋_GB2312"/>
              <w:sz w:val="32"/>
              <w:szCs w:val="32"/>
            </w:rPr>
            <w:t>，培育地区竞争新优势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4B0D13">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"_Toc19959" </w:instrText>
          </w:r>
          <w:r>
            <w:fldChar w:fldCharType="separate"/>
          </w:r>
          <w:r>
            <w:rPr>
              <w:rFonts w:hint="eastAsia" w:ascii="仿宋_GB2312" w:hAnsi="仿宋_GB2312" w:eastAsia="仿宋_GB2312" w:cs="仿宋_GB2312"/>
              <w:sz w:val="32"/>
              <w:szCs w:val="32"/>
              <w:lang w:val="en-US"/>
            </w:rPr>
            <w:t xml:space="preserve">第四节 </w:t>
          </w:r>
          <w:r>
            <w:rPr>
              <w:rFonts w:hint="eastAsia" w:ascii="仿宋_GB2312" w:hAnsi="仿宋_GB2312" w:eastAsia="仿宋_GB2312" w:cs="仿宋_GB2312"/>
              <w:sz w:val="32"/>
              <w:szCs w:val="32"/>
            </w:rPr>
            <w:t>激发市场主体活力</w:t>
          </w:r>
          <w:r>
            <w:rPr>
              <w:rFonts w:hint="eastAsia" w:ascii="仿宋_GB2312" w:hAnsi="仿宋_GB2312" w:eastAsia="仿宋_GB2312" w:cs="仿宋_GB2312"/>
              <w:sz w:val="32"/>
              <w:szCs w:val="32"/>
              <w:lang w:val="en-US"/>
            </w:rPr>
            <w:t>，扩大精准有效</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A038A7">
          <w:pPr>
            <w:pStyle w:val="19"/>
            <w:tabs>
              <w:tab w:val="right" w:leader="dot" w:pos="8848"/>
            </w:tabs>
            <w:ind w:firstLine="0" w:firstLineChars="0"/>
            <w:jc w:val="left"/>
            <w:rPr>
              <w:rFonts w:ascii="黑体" w:hAnsi="黑体" w:eastAsia="黑体" w:cs="黑体"/>
              <w:sz w:val="32"/>
              <w:szCs w:val="32"/>
            </w:rPr>
          </w:pPr>
          <w:r>
            <w:fldChar w:fldCharType="begin"/>
          </w:r>
          <w:r>
            <w:instrText xml:space="preserve"> HYPERLINK \l "_Toc29938" </w:instrText>
          </w:r>
          <w:r>
            <w:fldChar w:fldCharType="separate"/>
          </w:r>
          <w:r>
            <w:rPr>
              <w:rFonts w:hint="eastAsia" w:ascii="黑体" w:hAnsi="黑体" w:eastAsia="黑体" w:cs="黑体"/>
              <w:sz w:val="32"/>
              <w:szCs w:val="32"/>
              <w:shd w:val="clear" w:color="auto" w:fill="FFFFFF"/>
              <w:lang w:val="en-US"/>
            </w:rPr>
            <w:t>第七章 优化国土空间布局，建设魅力多彩达拉特</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_Toc29938 \h </w:instrText>
          </w:r>
          <w:r>
            <w:rPr>
              <w:rFonts w:hint="eastAsia" w:ascii="黑体" w:hAnsi="黑体" w:eastAsia="黑体" w:cs="黑体"/>
              <w:sz w:val="32"/>
              <w:szCs w:val="32"/>
            </w:rPr>
            <w:fldChar w:fldCharType="separate"/>
          </w:r>
          <w:r>
            <w:rPr>
              <w:rFonts w:hint="eastAsia" w:ascii="黑体" w:hAnsi="黑体" w:eastAsia="黑体" w:cs="黑体"/>
              <w:sz w:val="32"/>
              <w:szCs w:val="32"/>
            </w:rPr>
            <w:t>57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E8911B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"_Toc6842" </w:instrText>
          </w:r>
          <w:r>
            <w:fldChar w:fldCharType="separate"/>
          </w:r>
          <w:r>
            <w:rPr>
              <w:rFonts w:hint="eastAsia" w:ascii="仿宋_GB2312" w:hAnsi="仿宋_GB2312" w:eastAsia="仿宋_GB2312" w:cs="仿宋_GB2312"/>
              <w:sz w:val="32"/>
              <w:szCs w:val="32"/>
            </w:rPr>
            <w:t>第一节 促进发展与保护协同，有序开发国土空间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_Toc6842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A43473">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"_Toc10018" </w:instrText>
          </w:r>
          <w:r>
            <w:fldChar w:fldCharType="separate"/>
          </w:r>
          <w:r>
            <w:rPr>
              <w:rFonts w:hint="eastAsia" w:ascii="仿宋_GB2312" w:hAnsi="仿宋_GB2312" w:eastAsia="仿宋_GB2312" w:cs="仿宋_GB2312"/>
              <w:sz w:val="32"/>
              <w:szCs w:val="32"/>
            </w:rPr>
            <w:t xml:space="preserve">第二节 </w:t>
          </w:r>
          <w:r>
            <w:rPr>
              <w:rFonts w:hint="eastAsia" w:ascii="仿宋_GB2312" w:hAnsi="仿宋_GB2312" w:eastAsia="仿宋_GB2312" w:cs="仿宋_GB2312"/>
              <w:sz w:val="32"/>
              <w:szCs w:val="32"/>
              <w:lang w:val="en-US"/>
            </w:rPr>
            <w:t>加强</w:t>
          </w:r>
          <w:r>
            <w:rPr>
              <w:rFonts w:hint="eastAsia" w:ascii="仿宋_GB2312" w:hAnsi="仿宋_GB2312" w:eastAsia="仿宋_GB2312" w:cs="仿宋_GB2312"/>
              <w:sz w:val="32"/>
              <w:szCs w:val="32"/>
            </w:rPr>
            <w:t>基础设施</w:t>
          </w:r>
          <w:r>
            <w:rPr>
              <w:rFonts w:hint="eastAsia" w:ascii="仿宋_GB2312" w:hAnsi="仿宋_GB2312" w:eastAsia="仿宋_GB2312" w:cs="仿宋_GB2312"/>
              <w:sz w:val="32"/>
              <w:szCs w:val="32"/>
              <w:lang w:val="en-US"/>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全面提升空间承载力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FBA9AC">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"_Toc24283" </w:instrText>
          </w:r>
          <w:r>
            <w:fldChar w:fldCharType="separate"/>
          </w:r>
          <w:r>
            <w:rPr>
              <w:rFonts w:hint="eastAsia" w:ascii="仿宋_GB2312" w:hAnsi="仿宋_GB2312" w:eastAsia="仿宋_GB2312" w:cs="仿宋_GB2312"/>
              <w:sz w:val="32"/>
              <w:szCs w:val="32"/>
            </w:rPr>
            <w:t>第三节 加快城市能级提升，筑牢新型城镇化核心优势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27A75B">
          <w:pPr>
            <w:pStyle w:val="19"/>
            <w:tabs>
              <w:tab w:val="right" w:leader="dot" w:pos="8848"/>
            </w:tabs>
            <w:ind w:firstLine="0" w:firstLineChars="0"/>
            <w:jc w:val="left"/>
            <w:rPr>
              <w:rFonts w:ascii="黑体" w:hAnsi="黑体" w:eastAsia="黑体" w:cs="黑体"/>
              <w:sz w:val="32"/>
              <w:szCs w:val="32"/>
            </w:rPr>
          </w:pPr>
          <w:r>
            <w:fldChar w:fldCharType="begin"/>
          </w:r>
          <w:r>
            <w:instrText xml:space="preserve"> HYPERLINK \l "_Toc24143" </w:instrText>
          </w:r>
          <w:r>
            <w:fldChar w:fldCharType="separate"/>
          </w:r>
          <w:r>
            <w:rPr>
              <w:rFonts w:hint="eastAsia" w:ascii="黑体" w:hAnsi="黑体" w:eastAsia="黑体" w:cs="黑体"/>
              <w:sz w:val="32"/>
              <w:szCs w:val="32"/>
            </w:rPr>
            <w:t>第八章 加速农业农村现代化建设，全面推进乡村振兴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_Toc24143 \h </w:instrText>
          </w:r>
          <w:r>
            <w:rPr>
              <w:rFonts w:hint="eastAsia" w:ascii="黑体" w:hAnsi="黑体" w:eastAsia="黑体" w:cs="黑体"/>
              <w:sz w:val="32"/>
              <w:szCs w:val="32"/>
            </w:rPr>
            <w:fldChar w:fldCharType="separate"/>
          </w:r>
          <w:r>
            <w:rPr>
              <w:rFonts w:hint="eastAsia" w:ascii="黑体" w:hAnsi="黑体" w:eastAsia="黑体" w:cs="黑体"/>
              <w:sz w:val="32"/>
              <w:szCs w:val="32"/>
            </w:rPr>
            <w:t>67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C7DF6F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"_Toc8393" </w:instrText>
          </w:r>
          <w:r>
            <w:fldChar w:fldCharType="separate"/>
          </w:r>
          <w:r>
            <w:rPr>
              <w:rFonts w:hint="eastAsia" w:ascii="仿宋_GB2312" w:hAnsi="仿宋_GB2312" w:eastAsia="仿宋_GB2312" w:cs="仿宋_GB2312"/>
              <w:sz w:val="32"/>
              <w:szCs w:val="32"/>
              <w:lang w:val="en-US"/>
            </w:rPr>
            <w:t xml:space="preserve">第一节 </w:t>
          </w:r>
          <w:r>
            <w:rPr>
              <w:rFonts w:hint="eastAsia" w:ascii="仿宋_GB2312" w:hAnsi="仿宋_GB2312" w:eastAsia="仿宋_GB2312" w:cs="仿宋_GB2312"/>
              <w:sz w:val="32"/>
              <w:szCs w:val="32"/>
            </w:rPr>
            <w:t>加快乡村产业发展，推动乡村产业振兴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D0B61FA">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"_Toc5803" </w:instrText>
          </w:r>
          <w:r>
            <w:fldChar w:fldCharType="separate"/>
          </w:r>
          <w:r>
            <w:rPr>
              <w:rFonts w:hint="eastAsia" w:ascii="仿宋_GB2312" w:hAnsi="仿宋_GB2312" w:eastAsia="仿宋_GB2312" w:cs="仿宋_GB2312"/>
              <w:sz w:val="32"/>
              <w:szCs w:val="32"/>
              <w:lang w:val="en-US"/>
            </w:rPr>
            <w:t>第二节 强化人才队伍支撑，推动乡村人才振兴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42AEF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"_Toc11984" </w:instrText>
          </w:r>
          <w:r>
            <w:fldChar w:fldCharType="separate"/>
          </w:r>
          <w:r>
            <w:rPr>
              <w:rFonts w:hint="eastAsia" w:ascii="仿宋_GB2312" w:hAnsi="仿宋_GB2312" w:eastAsia="仿宋_GB2312" w:cs="仿宋_GB2312"/>
              <w:sz w:val="32"/>
              <w:szCs w:val="32"/>
              <w:lang w:val="en-US"/>
            </w:rPr>
            <w:t>第三节 促进乡村文化繁荣，推动乡村文化振兴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BDB90D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"_Toc26542" </w:instrText>
          </w:r>
          <w:r>
            <w:fldChar w:fldCharType="separate"/>
          </w:r>
          <w:r>
            <w:rPr>
              <w:rFonts w:hint="eastAsia" w:ascii="仿宋_GB2312" w:hAnsi="仿宋_GB2312" w:eastAsia="仿宋_GB2312" w:cs="仿宋_GB2312"/>
              <w:sz w:val="32"/>
              <w:szCs w:val="32"/>
              <w:lang w:val="en-US"/>
            </w:rPr>
            <w:t>第四节 加强美丽乡村建设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推动乡村生态振兴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3A4339">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"_Toc11554" </w:instrText>
          </w:r>
          <w:r>
            <w:fldChar w:fldCharType="separate"/>
          </w:r>
          <w:r>
            <w:rPr>
              <w:rFonts w:hint="eastAsia" w:ascii="仿宋_GB2312" w:hAnsi="仿宋_GB2312" w:eastAsia="仿宋_GB2312" w:cs="仿宋_GB2312"/>
              <w:sz w:val="32"/>
              <w:szCs w:val="32"/>
            </w:rPr>
            <w:t xml:space="preserve">第五节 </w:t>
          </w:r>
          <w:r>
            <w:rPr>
              <w:rFonts w:hint="eastAsia" w:ascii="仿宋_GB2312" w:hAnsi="仿宋_GB2312" w:eastAsia="仿宋_GB2312" w:cs="仿宋_GB2312"/>
              <w:sz w:val="32"/>
              <w:szCs w:val="32"/>
              <w:lang w:val="en-US"/>
            </w:rPr>
            <w:t>加强和改进乡村治理，推动乡村组织振兴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186AD4">
          <w:pPr>
            <w:pStyle w:val="19"/>
            <w:tabs>
              <w:tab w:val="right" w:leader="dot" w:pos="8848"/>
            </w:tabs>
            <w:ind w:firstLine="0" w:firstLineChars="0"/>
            <w:jc w:val="left"/>
            <w:rPr>
              <w:rFonts w:ascii="黑体" w:hAnsi="黑体" w:eastAsia="黑体" w:cs="黑体"/>
              <w:sz w:val="32"/>
              <w:szCs w:val="32"/>
            </w:rPr>
          </w:pPr>
          <w:r>
            <w:fldChar w:fldCharType="begin"/>
          </w:r>
          <w:r>
            <w:instrText xml:space="preserve"> HYPERLINK \l "_Toc28883" </w:instrText>
          </w:r>
          <w:r>
            <w:fldChar w:fldCharType="separate"/>
          </w:r>
          <w:r>
            <w:rPr>
              <w:rFonts w:hint="eastAsia" w:ascii="黑体" w:hAnsi="黑体" w:eastAsia="黑体" w:cs="黑体"/>
              <w:sz w:val="32"/>
              <w:szCs w:val="32"/>
              <w:shd w:val="clear" w:color="auto" w:fill="FFFFFF"/>
              <w:lang w:val="en-US"/>
            </w:rPr>
            <w:t>第九章 统筹生态文明建设，着力打造绿色发展样板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_Toc28883 \h </w:instrText>
          </w:r>
          <w:r>
            <w:rPr>
              <w:rFonts w:hint="eastAsia" w:ascii="黑体" w:hAnsi="黑体" w:eastAsia="黑体" w:cs="黑体"/>
              <w:sz w:val="32"/>
              <w:szCs w:val="32"/>
            </w:rPr>
            <w:fldChar w:fldCharType="separate"/>
          </w:r>
          <w:r>
            <w:rPr>
              <w:rFonts w:hint="eastAsia" w:ascii="黑体" w:hAnsi="黑体" w:eastAsia="黑体" w:cs="黑体"/>
              <w:sz w:val="32"/>
              <w:szCs w:val="32"/>
            </w:rPr>
            <w:t>77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96E5F79">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"_Toc32004" </w:instrText>
          </w:r>
          <w:r>
            <w:fldChar w:fldCharType="separate"/>
          </w:r>
          <w:r>
            <w:rPr>
              <w:rFonts w:hint="eastAsia" w:ascii="仿宋_GB2312" w:hAnsi="仿宋_GB2312" w:eastAsia="仿宋_GB2312" w:cs="仿宋_GB2312"/>
              <w:sz w:val="32"/>
              <w:szCs w:val="32"/>
            </w:rPr>
            <w:t>第一节 加强生态空间管控，构筑生态安全新格局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2AAA16">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"_Toc22610" </w:instrText>
          </w:r>
          <w:r>
            <w:fldChar w:fldCharType="separate"/>
          </w:r>
          <w:r>
            <w:rPr>
              <w:rFonts w:hint="eastAsia" w:ascii="仿宋_GB2312" w:hAnsi="仿宋_GB2312" w:eastAsia="仿宋_GB2312" w:cs="仿宋_GB2312"/>
              <w:sz w:val="32"/>
              <w:szCs w:val="32"/>
            </w:rPr>
            <w:t xml:space="preserve">第二节 </w:t>
          </w:r>
          <w:r>
            <w:rPr>
              <w:rFonts w:hint="eastAsia" w:ascii="仿宋_GB2312" w:hAnsi="仿宋_GB2312" w:eastAsia="仿宋_GB2312" w:cs="仿宋_GB2312"/>
              <w:sz w:val="32"/>
              <w:szCs w:val="32"/>
              <w:lang w:val="en-US"/>
            </w:rPr>
            <w:t>统筹</w:t>
          </w:r>
          <w:r>
            <w:rPr>
              <w:rFonts w:hint="eastAsia" w:ascii="仿宋_GB2312" w:hAnsi="仿宋_GB2312" w:eastAsia="仿宋_GB2312" w:cs="仿宋_GB2312"/>
              <w:sz w:val="32"/>
              <w:szCs w:val="32"/>
            </w:rPr>
            <w:t>生态治理与保护，增强生态系统的稳定性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4A3978">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"_Toc30137" </w:instrText>
          </w:r>
          <w:r>
            <w:fldChar w:fldCharType="separate"/>
          </w:r>
          <w:r>
            <w:rPr>
              <w:rFonts w:hint="eastAsia" w:ascii="仿宋_GB2312" w:hAnsi="仿宋_GB2312" w:eastAsia="仿宋_GB2312" w:cs="仿宋_GB2312"/>
              <w:sz w:val="32"/>
              <w:szCs w:val="32"/>
            </w:rPr>
            <w:t>第三节 打好污染防治攻坚战，持续改善生态环境质量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60836F">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"_Toc17084" </w:instrText>
          </w:r>
          <w:r>
            <w:fldChar w:fldCharType="separate"/>
          </w:r>
          <w:r>
            <w:rPr>
              <w:rFonts w:hint="eastAsia" w:ascii="仿宋_GB2312" w:hAnsi="仿宋_GB2312" w:eastAsia="仿宋_GB2312" w:cs="仿宋_GB2312"/>
              <w:sz w:val="32"/>
              <w:szCs w:val="32"/>
            </w:rPr>
            <w:t>第四节 大力发展循环经济，全面提高资源利用效率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57F3F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"_Toc4736" </w:instrText>
          </w:r>
          <w:r>
            <w:fldChar w:fldCharType="separate"/>
          </w:r>
          <w:r>
            <w:rPr>
              <w:rFonts w:hint="eastAsia" w:ascii="仿宋_GB2312" w:hAnsi="仿宋_GB2312" w:eastAsia="仿宋_GB2312" w:cs="仿宋_GB2312"/>
              <w:sz w:val="32"/>
              <w:szCs w:val="32"/>
            </w:rPr>
            <w:t>第五节 健全生态</w:t>
          </w:r>
          <w:r>
            <w:rPr>
              <w:rFonts w:hint="eastAsia" w:ascii="仿宋_GB2312" w:hAnsi="仿宋_GB2312" w:eastAsia="仿宋_GB2312" w:cs="仿宋_GB2312"/>
              <w:sz w:val="32"/>
              <w:szCs w:val="32"/>
              <w:lang w:val="en-US"/>
            </w:rPr>
            <w:t>环保制度</w:t>
          </w:r>
          <w:r>
            <w:rPr>
              <w:rFonts w:hint="eastAsia" w:ascii="仿宋_GB2312" w:hAnsi="仿宋_GB2312" w:eastAsia="仿宋_GB2312" w:cs="仿宋_GB2312"/>
              <w:sz w:val="32"/>
              <w:szCs w:val="32"/>
            </w:rPr>
            <w:t>，提升环境质量监管水平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AD20429">
          <w:pPr>
            <w:pStyle w:val="17"/>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"_Toc19330" </w:instrText>
          </w:r>
          <w:r>
            <w:fldChar w:fldCharType="separate"/>
          </w:r>
          <w:r>
            <w:rPr>
              <w:rFonts w:hint="eastAsia" w:ascii="黑体" w:hAnsi="黑体" w:eastAsia="黑体" w:cs="黑体"/>
              <w:sz w:val="32"/>
              <w:szCs w:val="32"/>
              <w:shd w:val="clear" w:color="auto" w:fill="FFFFFF"/>
              <w:lang w:val="en-US"/>
            </w:rPr>
            <w:t>第十章 提升社会事业水平，增强人民群众福祉</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_Toc19330 \h </w:instrText>
          </w:r>
          <w:r>
            <w:rPr>
              <w:rFonts w:hint="eastAsia" w:ascii="黑体" w:hAnsi="黑体" w:eastAsia="黑体" w:cs="黑体"/>
              <w:sz w:val="32"/>
              <w:szCs w:val="32"/>
            </w:rPr>
            <w:fldChar w:fldCharType="separate"/>
          </w:r>
          <w:r>
            <w:rPr>
              <w:rFonts w:hint="eastAsia" w:ascii="黑体" w:hAnsi="黑体" w:eastAsia="黑体" w:cs="黑体"/>
              <w:sz w:val="32"/>
              <w:szCs w:val="32"/>
            </w:rPr>
            <w:t>89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7B28661">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"_Toc386" </w:instrText>
          </w:r>
          <w:r>
            <w:fldChar w:fldCharType="separate"/>
          </w:r>
          <w:r>
            <w:rPr>
              <w:rFonts w:hint="eastAsia" w:ascii="仿宋_GB2312" w:hAnsi="仿宋_GB2312" w:eastAsia="仿宋_GB2312" w:cs="仿宋_GB2312"/>
              <w:sz w:val="32"/>
              <w:szCs w:val="32"/>
              <w:lang w:val="en-US"/>
            </w:rPr>
            <w:t>第一节 全力促进教育公平，建设高质量教育体系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E77163">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"_Toc28316" </w:instrText>
          </w:r>
          <w:r>
            <w:fldChar w:fldCharType="separate"/>
          </w:r>
          <w:r>
            <w:rPr>
              <w:rFonts w:hint="eastAsia" w:ascii="仿宋_GB2312" w:hAnsi="仿宋_GB2312" w:eastAsia="仿宋_GB2312" w:cs="仿宋_GB2312"/>
              <w:sz w:val="32"/>
              <w:szCs w:val="32"/>
            </w:rPr>
            <w:t>第二节 提升医疗服务水平，推进健康达拉特建设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_Toc28316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45D8E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"_Toc9067" </w:instrText>
          </w:r>
          <w:r>
            <w:fldChar w:fldCharType="separate"/>
          </w:r>
          <w:r>
            <w:rPr>
              <w:rFonts w:hint="eastAsia" w:ascii="仿宋_GB2312" w:hAnsi="仿宋_GB2312" w:eastAsia="仿宋_GB2312" w:cs="仿宋_GB2312"/>
              <w:sz w:val="32"/>
              <w:szCs w:val="32"/>
            </w:rPr>
            <w:t>第三节 增强人民幸福指数，建设多层次社保体系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802AB2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"_Toc21591" </w:instrText>
          </w:r>
          <w:r>
            <w:fldChar w:fldCharType="separate"/>
          </w:r>
          <w:r>
            <w:rPr>
              <w:rFonts w:hint="eastAsia" w:ascii="仿宋_GB2312" w:hAnsi="仿宋_GB2312" w:eastAsia="仿宋_GB2312" w:cs="仿宋_GB2312"/>
              <w:sz w:val="32"/>
              <w:szCs w:val="32"/>
            </w:rPr>
            <w:t>第四节 繁荣文化体育事业，增强达拉特人文魅力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4B25C3">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"_Toc18552" </w:instrText>
          </w:r>
          <w:r>
            <w:fldChar w:fldCharType="separate"/>
          </w:r>
          <w:r>
            <w:rPr>
              <w:rFonts w:hint="eastAsia" w:ascii="黑体" w:hAnsi="黑体" w:eastAsia="黑体" w:cs="黑体"/>
              <w:sz w:val="32"/>
              <w:szCs w:val="32"/>
              <w:shd w:val="clear" w:color="auto" w:fill="FFFFFF"/>
              <w:lang w:val="en-US"/>
            </w:rPr>
            <w:t>第十一章 加强和创新社会治理，建设平安法治达拉特</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_Toc18552 \h </w:instrText>
          </w:r>
          <w:r>
            <w:rPr>
              <w:rFonts w:hint="eastAsia" w:ascii="黑体" w:hAnsi="黑体" w:eastAsia="黑体" w:cs="黑体"/>
              <w:sz w:val="32"/>
              <w:szCs w:val="32"/>
            </w:rPr>
            <w:fldChar w:fldCharType="separate"/>
          </w:r>
          <w:r>
            <w:rPr>
              <w:rFonts w:hint="eastAsia" w:ascii="黑体" w:hAnsi="黑体" w:eastAsia="黑体" w:cs="黑体"/>
              <w:sz w:val="32"/>
              <w:szCs w:val="32"/>
            </w:rPr>
            <w:t>105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B4403BB">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"_Toc14482" </w:instrText>
          </w:r>
          <w:r>
            <w:fldChar w:fldCharType="separate"/>
          </w:r>
          <w:r>
            <w:rPr>
              <w:rFonts w:hint="eastAsia" w:ascii="仿宋_GB2312" w:hAnsi="仿宋_GB2312" w:eastAsia="仿宋_GB2312" w:cs="仿宋_GB2312"/>
              <w:sz w:val="32"/>
              <w:szCs w:val="32"/>
              <w:lang w:val="en-GB"/>
            </w:rPr>
            <w:t>第一节坚持党的全面领导，增强党的执政能力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60379E">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"_Toc8000" </w:instrText>
          </w:r>
          <w:r>
            <w:fldChar w:fldCharType="separate"/>
          </w:r>
          <w:r>
            <w:rPr>
              <w:rFonts w:hint="eastAsia" w:ascii="仿宋_GB2312" w:hAnsi="仿宋_GB2312" w:eastAsia="仿宋_GB2312" w:cs="仿宋_GB2312"/>
              <w:sz w:val="32"/>
              <w:szCs w:val="32"/>
              <w:lang w:val="en-GB"/>
            </w:rPr>
            <w:t>第二节坚持以人民为中心，防范</w:t>
          </w:r>
          <w:r>
            <w:rPr>
              <w:rFonts w:hint="eastAsia" w:ascii="仿宋_GB2312" w:hAnsi="仿宋_GB2312" w:eastAsia="仿宋_GB2312" w:cs="仿宋_GB2312"/>
              <w:sz w:val="32"/>
              <w:szCs w:val="32"/>
            </w:rPr>
            <w:t>化解重大风险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051644">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"_Toc12534" </w:instrText>
          </w:r>
          <w:r>
            <w:fldChar w:fldCharType="separate"/>
          </w:r>
          <w:r>
            <w:rPr>
              <w:rFonts w:hint="eastAsia" w:ascii="仿宋_GB2312" w:hAnsi="仿宋_GB2312" w:eastAsia="仿宋_GB2312" w:cs="仿宋_GB2312"/>
              <w:sz w:val="32"/>
              <w:szCs w:val="32"/>
              <w:lang w:val="en-GB"/>
            </w:rPr>
            <w:t xml:space="preserve">第三节 </w:t>
          </w:r>
          <w:r>
            <w:rPr>
              <w:rFonts w:hint="eastAsia" w:ascii="仿宋_GB2312" w:hAnsi="仿宋_GB2312" w:eastAsia="仿宋_GB2312" w:cs="仿宋_GB2312"/>
              <w:sz w:val="32"/>
              <w:szCs w:val="32"/>
            </w:rPr>
            <w:t>坚持依法治理，提高社会法制化水平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B9B2CB">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"_Toc10885" </w:instrText>
          </w:r>
          <w:r>
            <w:fldChar w:fldCharType="separate"/>
          </w:r>
          <w:r>
            <w:rPr>
              <w:rFonts w:hint="eastAsia" w:ascii="仿宋_GB2312" w:hAnsi="仿宋_GB2312" w:eastAsia="仿宋_GB2312" w:cs="仿宋_GB2312"/>
              <w:sz w:val="32"/>
              <w:szCs w:val="32"/>
            </w:rPr>
            <w:t>第四节 坚持民主管理，形成多元参与的强大合力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B89E96">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"_Toc29170" </w:instrText>
          </w:r>
          <w:r>
            <w:fldChar w:fldCharType="separate"/>
          </w:r>
          <w:r>
            <w:rPr>
              <w:rFonts w:hint="eastAsia" w:ascii="仿宋_GB2312" w:hAnsi="仿宋_GB2312" w:eastAsia="仿宋_GB2312" w:cs="仿宋_GB2312"/>
              <w:sz w:val="32"/>
              <w:szCs w:val="32"/>
              <w:lang w:val="en-US"/>
            </w:rPr>
            <w:t xml:space="preserve">第五节 </w:t>
          </w:r>
          <w:r>
            <w:rPr>
              <w:rFonts w:hint="eastAsia" w:ascii="仿宋_GB2312" w:hAnsi="仿宋_GB2312" w:eastAsia="仿宋_GB2312" w:cs="仿宋_GB2312"/>
              <w:sz w:val="32"/>
              <w:szCs w:val="32"/>
              <w:lang w:val="en-GB"/>
            </w:rPr>
            <w:t>加强精神文明建设，提升全旗文明程度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A685E7">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"_Toc32463" </w:instrText>
          </w:r>
          <w:r>
            <w:fldChar w:fldCharType="separate"/>
          </w:r>
          <w:r>
            <w:rPr>
              <w:rFonts w:hint="eastAsia" w:ascii="黑体" w:hAnsi="黑体" w:eastAsia="黑体" w:cs="黑体"/>
              <w:sz w:val="32"/>
              <w:szCs w:val="32"/>
              <w:shd w:val="clear" w:color="auto" w:fill="FFFFFF"/>
              <w:lang w:val="en-US"/>
            </w:rPr>
            <w:t>第十二章 加强规划实施保障，确保规划顺利实施</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_Toc32463 \h </w:instrText>
          </w:r>
          <w:r>
            <w:rPr>
              <w:rFonts w:hint="eastAsia" w:ascii="黑体" w:hAnsi="黑体" w:eastAsia="黑体" w:cs="黑体"/>
              <w:sz w:val="32"/>
              <w:szCs w:val="32"/>
            </w:rPr>
            <w:fldChar w:fldCharType="separate"/>
          </w:r>
          <w:r>
            <w:rPr>
              <w:rFonts w:hint="eastAsia" w:ascii="黑体" w:hAnsi="黑体" w:eastAsia="黑体" w:cs="黑体"/>
              <w:sz w:val="32"/>
              <w:szCs w:val="32"/>
            </w:rPr>
            <w:t>115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B5296D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"_Toc28794" </w:instrText>
          </w:r>
          <w:r>
            <w:fldChar w:fldCharType="separate"/>
          </w:r>
          <w:r>
            <w:rPr>
              <w:rFonts w:hint="eastAsia" w:ascii="仿宋_GB2312" w:hAnsi="仿宋_GB2312" w:eastAsia="仿宋_GB2312" w:cs="仿宋_GB2312"/>
              <w:sz w:val="32"/>
              <w:szCs w:val="32"/>
              <w:lang w:val="en-US"/>
            </w:rPr>
            <w:t>第一节 完善规划实施机制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3F2F75">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"_Toc19874" </w:instrText>
          </w:r>
          <w:r>
            <w:fldChar w:fldCharType="separate"/>
          </w:r>
          <w:r>
            <w:rPr>
              <w:rFonts w:hint="eastAsia" w:ascii="仿宋_GB2312" w:hAnsi="仿宋_GB2312" w:eastAsia="仿宋_GB2312" w:cs="仿宋_GB2312"/>
              <w:sz w:val="32"/>
              <w:szCs w:val="32"/>
              <w:lang w:val="en-US"/>
            </w:rPr>
            <w:t>第二节 健全宣传保障机制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_Toc19874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F1F472">
          <w:pPr>
            <w:pStyle w:val="19"/>
            <w:tabs>
              <w:tab w:val="right" w:leader="dot" w:pos="8848"/>
            </w:tabs>
            <w:ind w:firstLine="0" w:firstLineChars="0"/>
            <w:jc w:val="left"/>
            <w:rPr>
              <w:rFonts w:ascii="仿宋_GB2312" w:hAnsi="仿宋_GB2312" w:eastAsia="仿宋_GB2312" w:cs="仿宋_GB2312"/>
              <w:sz w:val="32"/>
              <w:szCs w:val="32"/>
            </w:rPr>
          </w:pPr>
          <w:r>
            <w:fldChar w:fldCharType="begin"/>
          </w:r>
          <w:r>
            <w:instrText xml:space="preserve"> HYPERLINK \l "_Toc28382" </w:instrText>
          </w:r>
          <w:r>
            <w:fldChar w:fldCharType="separate"/>
          </w:r>
          <w:r>
            <w:rPr>
              <w:rFonts w:hint="eastAsia" w:ascii="仿宋_GB2312" w:hAnsi="仿宋_GB2312" w:eastAsia="仿宋_GB2312" w:cs="仿宋_GB2312"/>
              <w:sz w:val="32"/>
              <w:szCs w:val="32"/>
              <w:lang w:val="en-US"/>
            </w:rPr>
            <w:t>第三节 落实规划政策措施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_Toc28382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C551F7">
          <w:pPr>
            <w:pStyle w:val="19"/>
            <w:tabs>
              <w:tab w:val="right" w:leader="dot" w:pos="8848"/>
            </w:tabs>
            <w:ind w:firstLine="0" w:firstLineChars="0"/>
            <w:jc w:val="left"/>
          </w:pPr>
          <w:r>
            <w:fldChar w:fldCharType="begin"/>
          </w:r>
          <w:r>
            <w:instrText xml:space="preserve"> HYPERLINK \l "_Toc13189" </w:instrText>
          </w:r>
          <w:r>
            <w:fldChar w:fldCharType="separate"/>
          </w:r>
          <w:r>
            <w:rPr>
              <w:rFonts w:hint="eastAsia" w:ascii="仿宋_GB2312" w:hAnsi="仿宋_GB2312" w:eastAsia="仿宋_GB2312" w:cs="仿宋_GB2312"/>
              <w:sz w:val="32"/>
              <w:szCs w:val="32"/>
              <w:lang w:val="en-US"/>
            </w:rPr>
            <w:t>第四节 加强规划实施监督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E4A74A">
          <w:pPr>
            <w:spacing w:line="360" w:lineRule="auto"/>
            <w:ind w:firstLine="640"/>
            <w:jc w:val="center"/>
            <w:outlineLvl w:val="0"/>
            <w:rPr>
              <w:rFonts w:ascii="Times New Roman" w:hAnsi="Times New Roman" w:cs="Times New Roman"/>
              <w:szCs w:val="32"/>
            </w:rPr>
            <w:sectPr>
              <w:footerReference r:id="rId11" w:type="default"/>
              <w:pgSz w:w="11910" w:h="16840"/>
              <w:pgMar w:top="1560" w:right="1474" w:bottom="1440" w:left="1588" w:header="0" w:footer="1247" w:gutter="0"/>
              <w:pgNumType w:start="1"/>
              <w:cols w:space="720" w:num="1"/>
            </w:sectPr>
          </w:pPr>
          <w:r>
            <w:rPr>
              <w:rFonts w:ascii="Times New Roman" w:hAnsi="Times New Roman" w:cs="Times New Roman"/>
              <w:szCs w:val="32"/>
            </w:rPr>
            <w:fldChar w:fldCharType="end"/>
          </w:r>
        </w:p>
      </w:sdtContent>
    </w:sdt>
    <w:p w14:paraId="4913F771">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十四五”时期是我国全面建成小康社会、实现第一个百年奋斗目标之后，乘势而上开启全面建设社会主义现代化国家新征程、向第二个百年奋斗目标进军的第一个五年。也是我旗深入贯彻新发展理念，全面落实习近平总书记关于内蒙古工作的重要讲话和重要指示批示精神，推动经济社会高质量发展的关键五年。根据旗委《关于制定国民经济和社会发展“十四五”规划和二〇三五年远景目标的建议》，制定形成《达拉特旗国民经济和社会发展第十四个五年规划和2035五年远景目标纲要（草案）》。</w:t>
      </w:r>
      <w:bookmarkStart w:id="23" w:name="（一）发展质量不断提高"/>
      <w:bookmarkEnd w:id="23"/>
      <w:bookmarkStart w:id="24" w:name="_bookmark3"/>
      <w:bookmarkEnd w:id="24"/>
      <w:bookmarkStart w:id="25" w:name="第一章_“十三五”发展基础回顾"/>
      <w:bookmarkEnd w:id="25"/>
      <w:bookmarkStart w:id="26" w:name="_bookmark1"/>
      <w:bookmarkEnd w:id="26"/>
      <w:bookmarkStart w:id="27" w:name="_Toc59098730"/>
    </w:p>
    <w:p w14:paraId="4842A654">
      <w:pPr>
        <w:pStyle w:val="3"/>
        <w:spacing w:line="600" w:lineRule="exact"/>
        <w:rPr>
          <w:rFonts w:ascii="Times New Roman" w:hAnsi="Times New Roman" w:cs="Times New Roman"/>
          <w:bCs w:val="0"/>
          <w:szCs w:val="32"/>
          <w:shd w:val="clear" w:color="auto" w:fill="FFFFFF"/>
          <w:lang w:val="en-US"/>
        </w:rPr>
      </w:pPr>
      <w:bookmarkStart w:id="28" w:name="_Toc14215"/>
      <w:bookmarkStart w:id="29" w:name="_Toc9225"/>
      <w:bookmarkStart w:id="30" w:name="_Toc2693"/>
      <w:bookmarkStart w:id="31" w:name="_Toc21514"/>
      <w:bookmarkStart w:id="32" w:name="_Toc1618814184"/>
      <w:bookmarkStart w:id="33" w:name="_Toc19841"/>
      <w:r>
        <w:rPr>
          <w:rFonts w:ascii="Times New Roman" w:hAnsi="Times New Roman" w:cs="Times New Roman"/>
          <w:bCs w:val="0"/>
          <w:szCs w:val="32"/>
          <w:shd w:val="clear" w:color="auto" w:fill="FFFFFF"/>
          <w:lang w:val="en-US"/>
        </w:rPr>
        <w:t>第一章  “十三五”发展回顾</w:t>
      </w:r>
      <w:bookmarkEnd w:id="28"/>
      <w:bookmarkEnd w:id="29"/>
      <w:bookmarkEnd w:id="30"/>
      <w:bookmarkEnd w:id="31"/>
      <w:bookmarkEnd w:id="32"/>
      <w:bookmarkEnd w:id="33"/>
    </w:p>
    <w:p w14:paraId="290DEC97">
      <w:pPr>
        <w:pStyle w:val="4"/>
        <w:spacing w:line="600" w:lineRule="exact"/>
        <w:rPr>
          <w:rFonts w:ascii="楷体_GB2312" w:hAnsi="楷体_GB2312" w:eastAsia="楷体_GB2312" w:cs="楷体_GB2312"/>
        </w:rPr>
      </w:pPr>
      <w:bookmarkStart w:id="34" w:name="_Toc18933"/>
      <w:bookmarkStart w:id="35" w:name="_Toc155"/>
      <w:bookmarkStart w:id="36" w:name="_Toc939666645"/>
      <w:bookmarkStart w:id="37" w:name="_Toc23884"/>
      <w:bookmarkStart w:id="38" w:name="_Toc31569"/>
      <w:bookmarkStart w:id="39" w:name="_Toc5106"/>
      <w:r>
        <w:rPr>
          <w:rFonts w:hint="eastAsia" w:ascii="楷体_GB2312" w:hAnsi="楷体_GB2312" w:eastAsia="楷体_GB2312" w:cs="楷体_GB2312"/>
        </w:rPr>
        <w:t>第一节 发展成就</w:t>
      </w:r>
      <w:bookmarkEnd w:id="34"/>
      <w:bookmarkEnd w:id="35"/>
      <w:bookmarkEnd w:id="36"/>
      <w:bookmarkEnd w:id="37"/>
      <w:bookmarkEnd w:id="38"/>
      <w:bookmarkEnd w:id="39"/>
    </w:p>
    <w:p w14:paraId="14266A53">
      <w:pPr>
        <w:spacing w:line="600" w:lineRule="exact"/>
        <w:ind w:firstLine="640"/>
        <w:rPr>
          <w:rFonts w:ascii="仿宋_GB2312" w:hAnsi="仿宋_GB2312" w:eastAsia="仿宋_GB2312" w:cs="仿宋_GB2312"/>
        </w:rPr>
      </w:pPr>
      <w:r>
        <w:rPr>
          <w:rFonts w:hint="eastAsia" w:ascii="仿宋_GB2312" w:hAnsi="仿宋_GB2312" w:eastAsia="仿宋_GB2312" w:cs="仿宋_GB2312"/>
          <w:szCs w:val="32"/>
        </w:rPr>
        <w:t>“十三五”以来，全旗各族人民在旗委、政府的坚强领导下，深入贯彻新发展理念，坚持稳中求进工作总基调，全面落实习近平总书记关于内蒙古工作重要讲话和重要指示批示精神，坚决执行上级党委、政府决策部署，紧紧抓住“一带一路”、西部大开发、黄河流域生态保护和高质量发展等重大战略机遇，顺利迎接改革开放40周年、自治区成立70周年和中华人民共和国成立70周年等重大事件，有效应对能源市场波动、新冠肺炎疫情等重大风险，扎实推进供给侧结构性改革、产业发展、生态文明建设、三大攻坚战等重点任务，统筹推进稳增长、促改革、调结构、惠民生、防风险、保稳定各项工作，“十三五”规划主要目标任务基本完成，</w:t>
      </w:r>
      <w:r>
        <w:rPr>
          <w:rFonts w:hint="eastAsia" w:ascii="仿宋_GB2312" w:hAnsi="仿宋_GB2312" w:eastAsia="仿宋_GB2312" w:cs="仿宋_GB2312"/>
        </w:rPr>
        <w:t>经济社会迈向高质量发展，胜利实现全面建成小康社会目标。</w:t>
      </w:r>
    </w:p>
    <w:p w14:paraId="627AF8E5">
      <w:pPr>
        <w:spacing w:line="600" w:lineRule="exact"/>
        <w:ind w:firstLine="643"/>
        <w:rPr>
          <w:rFonts w:ascii="Times New Roman" w:hAnsi="Times New Roman" w:cs="Times New Roman"/>
          <w:lang w:val="en-US"/>
        </w:rPr>
      </w:pPr>
      <w:bookmarkStart w:id="40" w:name="_Toc1280"/>
      <w:bookmarkStart w:id="41" w:name="_Toc30576"/>
      <w:bookmarkStart w:id="42" w:name="_Toc29230"/>
      <w:r>
        <w:rPr>
          <w:rStyle w:val="34"/>
          <w:rFonts w:hint="eastAsia" w:ascii="楷体_GB2312" w:hAnsi="楷体_GB2312" w:eastAsia="楷体_GB2312" w:cs="楷体_GB2312"/>
        </w:rPr>
        <w:t>——综合实力稳步增强</w:t>
      </w:r>
      <w:bookmarkEnd w:id="40"/>
      <w:bookmarkEnd w:id="41"/>
      <w:bookmarkEnd w:id="42"/>
      <w:r>
        <w:rPr>
          <w:rFonts w:hint="eastAsia" w:ascii="楷体_GB2312" w:hAnsi="楷体_GB2312" w:eastAsia="楷体_GB2312" w:cs="楷体_GB2312"/>
          <w:b/>
          <w:bCs/>
        </w:rPr>
        <w:t>。</w:t>
      </w:r>
      <w:r>
        <w:rPr>
          <w:rFonts w:hint="eastAsia" w:ascii="仿宋_GB2312" w:hAnsi="仿宋_GB2312" w:eastAsia="仿宋_GB2312" w:cs="仿宋_GB2312"/>
          <w:szCs w:val="32"/>
        </w:rPr>
        <w:t>“十三五”期间，全旗地区生产总值达到</w:t>
      </w:r>
      <w:r>
        <w:rPr>
          <w:rFonts w:hint="eastAsia" w:ascii="仿宋_GB2312" w:hAnsi="仿宋_GB2312" w:eastAsia="仿宋_GB2312" w:cs="仿宋_GB2312"/>
          <w:szCs w:val="32"/>
          <w:lang w:val="en-US"/>
        </w:rPr>
        <w:t>319.7</w:t>
      </w:r>
      <w:r>
        <w:rPr>
          <w:rFonts w:hint="eastAsia" w:ascii="仿宋_GB2312" w:hAnsi="仿宋_GB2312" w:eastAsia="仿宋_GB2312" w:cs="仿宋_GB2312"/>
          <w:szCs w:val="32"/>
        </w:rPr>
        <w:t>亿元，年均增长</w:t>
      </w:r>
      <w:r>
        <w:rPr>
          <w:rFonts w:hint="eastAsia" w:ascii="仿宋_GB2312" w:hAnsi="仿宋_GB2312" w:eastAsia="仿宋_GB2312" w:cs="仿宋_GB2312"/>
          <w:szCs w:val="32"/>
          <w:lang w:val="en-US"/>
        </w:rPr>
        <w:t>3.5%</w:t>
      </w:r>
      <w:r>
        <w:rPr>
          <w:rFonts w:hint="eastAsia" w:ascii="仿宋_GB2312" w:hAnsi="仿宋_GB2312" w:eastAsia="仿宋_GB2312" w:cs="仿宋_GB2312"/>
          <w:szCs w:val="32"/>
          <w:lang w:val="en-US" w:bidi="ar-SA"/>
        </w:rPr>
        <w:t>；</w:t>
      </w:r>
      <w:r>
        <w:rPr>
          <w:rFonts w:hint="eastAsia" w:ascii="仿宋_GB2312" w:hAnsi="仿宋_GB2312" w:eastAsia="仿宋_GB2312" w:cs="仿宋_GB2312"/>
          <w:szCs w:val="32"/>
        </w:rPr>
        <w:t>一般公共预算收入达到20.1亿元，年均增长</w:t>
      </w:r>
      <w:r>
        <w:rPr>
          <w:rFonts w:hint="eastAsia" w:ascii="仿宋_GB2312" w:hAnsi="仿宋_GB2312" w:eastAsia="仿宋_GB2312" w:cs="仿宋_GB2312"/>
          <w:szCs w:val="32"/>
          <w:lang w:val="en-US"/>
        </w:rPr>
        <w:t>15%</w:t>
      </w:r>
      <w:r>
        <w:rPr>
          <w:rFonts w:hint="eastAsia" w:ascii="仿宋_GB2312" w:hAnsi="仿宋_GB2312" w:eastAsia="仿宋_GB2312" w:cs="仿宋_GB2312"/>
          <w:szCs w:val="32"/>
        </w:rPr>
        <w:t>；固定资产投资五年完成</w:t>
      </w:r>
      <w:r>
        <w:rPr>
          <w:rFonts w:hint="eastAsia" w:ascii="仿宋_GB2312" w:hAnsi="仿宋_GB2312" w:eastAsia="仿宋_GB2312" w:cs="仿宋_GB2312"/>
          <w:szCs w:val="32"/>
          <w:lang w:val="en-US"/>
        </w:rPr>
        <w:t>512</w:t>
      </w:r>
      <w:r>
        <w:rPr>
          <w:rFonts w:hint="eastAsia" w:ascii="仿宋_GB2312" w:hAnsi="仿宋_GB2312" w:eastAsia="仿宋_GB2312" w:cs="仿宋_GB2312"/>
          <w:szCs w:val="32"/>
        </w:rPr>
        <w:t>亿元，年均增长</w:t>
      </w:r>
      <w:r>
        <w:rPr>
          <w:rFonts w:hint="eastAsia" w:ascii="仿宋_GB2312" w:hAnsi="仿宋_GB2312" w:eastAsia="仿宋_GB2312" w:cs="仿宋_GB2312"/>
          <w:szCs w:val="32"/>
          <w:lang w:val="en-US"/>
        </w:rPr>
        <w:t>6.3%</w:t>
      </w:r>
      <w:r>
        <w:rPr>
          <w:rFonts w:hint="eastAsia" w:ascii="仿宋_GB2312" w:hAnsi="仿宋_GB2312" w:eastAsia="仿宋_GB2312" w:cs="仿宋_GB2312"/>
          <w:szCs w:val="32"/>
        </w:rPr>
        <w:t>；社会消费品零售总额达到</w:t>
      </w:r>
      <w:r>
        <w:rPr>
          <w:rFonts w:hint="eastAsia" w:ascii="仿宋_GB2312" w:hAnsi="仿宋_GB2312" w:eastAsia="仿宋_GB2312" w:cs="仿宋_GB2312"/>
          <w:szCs w:val="32"/>
          <w:lang w:val="en-US"/>
        </w:rPr>
        <w:t>42.5</w:t>
      </w:r>
      <w:r>
        <w:rPr>
          <w:rFonts w:hint="eastAsia" w:ascii="仿宋_GB2312" w:hAnsi="仿宋_GB2312" w:eastAsia="仿宋_GB2312" w:cs="仿宋_GB2312"/>
          <w:szCs w:val="32"/>
        </w:rPr>
        <w:t>亿元，年均增长</w:t>
      </w:r>
      <w:r>
        <w:rPr>
          <w:rFonts w:hint="eastAsia" w:ascii="仿宋_GB2312" w:hAnsi="仿宋_GB2312" w:eastAsia="仿宋_GB2312" w:cs="仿宋_GB2312"/>
          <w:szCs w:val="32"/>
          <w:lang w:val="en-US"/>
        </w:rPr>
        <w:t>4.2%</w:t>
      </w:r>
      <w:r>
        <w:rPr>
          <w:rFonts w:hint="eastAsia" w:ascii="仿宋_GB2312" w:hAnsi="仿宋_GB2312" w:eastAsia="仿宋_GB2312" w:cs="仿宋_GB2312"/>
          <w:szCs w:val="32"/>
        </w:rPr>
        <w:t>；城乡常住居民人均可支配收入达到</w:t>
      </w:r>
      <w:r>
        <w:rPr>
          <w:rFonts w:hint="eastAsia" w:ascii="仿宋_GB2312" w:hAnsi="仿宋_GB2312" w:eastAsia="仿宋_GB2312" w:cs="仿宋_GB2312"/>
          <w:szCs w:val="32"/>
          <w:lang w:val="en-US"/>
        </w:rPr>
        <w:t>45098</w:t>
      </w:r>
      <w:r>
        <w:rPr>
          <w:rFonts w:hint="eastAsia" w:ascii="仿宋_GB2312" w:hAnsi="仿宋_GB2312" w:eastAsia="仿宋_GB2312" w:cs="仿宋_GB2312"/>
          <w:szCs w:val="32"/>
        </w:rPr>
        <w:t>元和</w:t>
      </w:r>
      <w:r>
        <w:rPr>
          <w:rFonts w:hint="eastAsia" w:ascii="仿宋_GB2312" w:hAnsi="仿宋_GB2312" w:eastAsia="仿宋_GB2312" w:cs="仿宋_GB2312"/>
          <w:szCs w:val="32"/>
          <w:lang w:val="en-US"/>
        </w:rPr>
        <w:t>20968</w:t>
      </w:r>
      <w:r>
        <w:rPr>
          <w:rFonts w:hint="eastAsia" w:ascii="仿宋_GB2312" w:hAnsi="仿宋_GB2312" w:eastAsia="仿宋_GB2312" w:cs="仿宋_GB2312"/>
          <w:szCs w:val="32"/>
        </w:rPr>
        <w:t>元，年均分别增长</w:t>
      </w:r>
      <w:r>
        <w:rPr>
          <w:rFonts w:hint="eastAsia" w:ascii="仿宋_GB2312" w:hAnsi="仿宋_GB2312" w:eastAsia="仿宋_GB2312" w:cs="仿宋_GB2312"/>
          <w:szCs w:val="32"/>
          <w:lang w:val="en-US"/>
        </w:rPr>
        <w:t>5.9%</w:t>
      </w:r>
      <w:r>
        <w:rPr>
          <w:rFonts w:hint="eastAsia" w:ascii="仿宋_GB2312" w:hAnsi="仿宋_GB2312" w:eastAsia="仿宋_GB2312" w:cs="仿宋_GB2312"/>
          <w:szCs w:val="32"/>
        </w:rPr>
        <w:t>和</w:t>
      </w:r>
      <w:r>
        <w:rPr>
          <w:rFonts w:hint="eastAsia" w:ascii="仿宋_GB2312" w:hAnsi="仿宋_GB2312" w:eastAsia="仿宋_GB2312" w:cs="仿宋_GB2312"/>
          <w:szCs w:val="32"/>
          <w:lang w:val="en-US"/>
        </w:rPr>
        <w:t>7.9%</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全社会发电量和用电量达到226.1亿度和127.09亿度，年均分别增长-1.95%和45.9%；金融机构存贷款余额达到</w:t>
      </w:r>
      <w:r>
        <w:rPr>
          <w:rFonts w:hint="eastAsia" w:ascii="仿宋_GB2312" w:hAnsi="仿宋_GB2312" w:eastAsia="仿宋_GB2312" w:cs="仿宋_GB2312"/>
          <w:lang w:val="en-US"/>
        </w:rPr>
        <w:t>239.2</w:t>
      </w:r>
      <w:r>
        <w:rPr>
          <w:rFonts w:hint="eastAsia" w:ascii="仿宋_GB2312" w:hAnsi="仿宋_GB2312" w:eastAsia="仿宋_GB2312" w:cs="仿宋_GB2312"/>
          <w:szCs w:val="32"/>
          <w:lang w:val="en-US"/>
        </w:rPr>
        <w:t>亿元和</w:t>
      </w:r>
      <w:r>
        <w:rPr>
          <w:rFonts w:hint="eastAsia" w:ascii="仿宋_GB2312" w:hAnsi="仿宋_GB2312" w:eastAsia="仿宋_GB2312" w:cs="仿宋_GB2312"/>
          <w:lang w:val="en-US"/>
        </w:rPr>
        <w:t>151.8</w:t>
      </w:r>
      <w:r>
        <w:rPr>
          <w:rFonts w:hint="eastAsia" w:ascii="仿宋_GB2312" w:hAnsi="仿宋_GB2312" w:eastAsia="仿宋_GB2312" w:cs="仿宋_GB2312"/>
          <w:szCs w:val="32"/>
          <w:lang w:val="en-US"/>
        </w:rPr>
        <w:t>亿元，年均分别增长4.1%和6.7%。</w:t>
      </w:r>
    </w:p>
    <w:p w14:paraId="52881442">
      <w:pPr>
        <w:spacing w:line="600" w:lineRule="exact"/>
        <w:ind w:firstLine="643"/>
        <w:rPr>
          <w:rFonts w:ascii="仿宋_GB2312" w:hAnsi="仿宋_GB2312" w:eastAsia="仿宋_GB2312" w:cs="仿宋_GB2312"/>
          <w:szCs w:val="32"/>
        </w:rPr>
      </w:pPr>
      <w:bookmarkStart w:id="43" w:name="_Toc11298"/>
      <w:bookmarkStart w:id="44" w:name="_Toc20332"/>
      <w:bookmarkStart w:id="45" w:name="_Toc25825"/>
      <w:r>
        <w:rPr>
          <w:rStyle w:val="34"/>
          <w:rFonts w:hint="eastAsia" w:ascii="楷体_GB2312" w:hAnsi="楷体_GB2312" w:eastAsia="楷体_GB2312" w:cs="楷体_GB2312"/>
        </w:rPr>
        <w:t>——发展质量显著提高。</w:t>
      </w:r>
      <w:bookmarkEnd w:id="43"/>
      <w:bookmarkEnd w:id="44"/>
      <w:bookmarkEnd w:id="45"/>
      <w:r>
        <w:rPr>
          <w:rFonts w:hint="eastAsia" w:ascii="仿宋_GB2312" w:hAnsi="仿宋_GB2312" w:eastAsia="仿宋_GB2312" w:cs="仿宋_GB2312"/>
          <w:szCs w:val="32"/>
        </w:rPr>
        <w:t>农牧业基础性地位更加稳固，全旗农作物总播面积稳定在220万亩以上，土地适度规模经营面积达到125万亩，占农作物总播面积56.4</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，粮食产量连续</w:t>
      </w:r>
      <w:r>
        <w:rPr>
          <w:rFonts w:hint="eastAsia" w:ascii="仿宋_GB2312" w:hAnsi="仿宋_GB2312" w:eastAsia="仿宋_GB2312" w:cs="仿宋_GB2312"/>
          <w:szCs w:val="32"/>
          <w:lang w:val="en-US"/>
        </w:rPr>
        <w:t>16</w:t>
      </w:r>
      <w:r>
        <w:rPr>
          <w:rFonts w:hint="eastAsia" w:ascii="仿宋_GB2312" w:hAnsi="仿宋_GB2312" w:eastAsia="仿宋_GB2312" w:cs="仿宋_GB2312"/>
          <w:szCs w:val="32"/>
        </w:rPr>
        <w:t>年突破</w:t>
      </w:r>
      <w:r>
        <w:rPr>
          <w:rFonts w:hint="eastAsia" w:ascii="仿宋_GB2312" w:hAnsi="仿宋_GB2312" w:eastAsia="仿宋_GB2312" w:cs="仿宋_GB2312"/>
          <w:szCs w:val="32"/>
          <w:lang w:val="en-US"/>
        </w:rPr>
        <w:t>15</w:t>
      </w:r>
      <w:r>
        <w:rPr>
          <w:rFonts w:hint="eastAsia" w:ascii="仿宋_GB2312" w:hAnsi="仿宋_GB2312" w:eastAsia="仿宋_GB2312" w:cs="仿宋_GB2312"/>
          <w:szCs w:val="32"/>
        </w:rPr>
        <w:t>亿斤；牧业年度牲畜存栏稳定在282万头（只）左右。工业动能转换加快，</w:t>
      </w:r>
      <w:r>
        <w:rPr>
          <w:rFonts w:hint="eastAsia" w:ascii="仿宋_GB2312" w:hAnsi="仿宋_GB2312" w:eastAsia="仿宋_GB2312" w:cs="仿宋_GB2312"/>
          <w:szCs w:val="32"/>
          <w:lang w:val="en-US"/>
        </w:rPr>
        <w:t>蒙泰新型铝合金材料、恒星有机硅聚合物、默锐高端化学能源材料、新奥石墨烯等一批</w:t>
      </w:r>
      <w:r>
        <w:rPr>
          <w:rFonts w:hint="eastAsia" w:ascii="仿宋_GB2312" w:hAnsi="仿宋_GB2312" w:eastAsia="仿宋_GB2312" w:cs="仿宋_GB2312"/>
          <w:szCs w:val="32"/>
        </w:rPr>
        <w:t>高新技术</w:t>
      </w:r>
      <w:r>
        <w:rPr>
          <w:rFonts w:hint="eastAsia" w:ascii="仿宋_GB2312" w:hAnsi="仿宋_GB2312" w:eastAsia="仿宋_GB2312" w:cs="仿宋_GB2312"/>
          <w:szCs w:val="32"/>
          <w:lang w:val="en-US"/>
        </w:rPr>
        <w:t>项目建成投产</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建能新辉8条陶瓷生产线正在建设，达电五期1×100万千瓦机组经自治区核准落地，国家第三批光伏领跑项目</w:t>
      </w:r>
      <w:r>
        <w:rPr>
          <w:rFonts w:hint="eastAsia" w:ascii="仿宋_GB2312" w:hAnsi="仿宋_GB2312" w:eastAsia="仿宋_GB2312" w:cs="仿宋_GB2312"/>
          <w:szCs w:val="32"/>
        </w:rPr>
        <w:t>成为全国新能源产业发展典范，非煤产业增加值占到规模以上工业增加值的</w:t>
      </w:r>
      <w:r>
        <w:rPr>
          <w:rFonts w:hint="eastAsia" w:ascii="仿宋_GB2312" w:hAnsi="仿宋_GB2312" w:eastAsia="仿宋_GB2312" w:cs="仿宋_GB2312"/>
          <w:szCs w:val="32"/>
          <w:lang w:val="en-US"/>
        </w:rPr>
        <w:t>56.5</w:t>
      </w:r>
      <w:r>
        <w:rPr>
          <w:rFonts w:hint="eastAsia" w:ascii="仿宋_GB2312" w:hAnsi="仿宋_GB2312" w:eastAsia="仿宋_GB2312" w:cs="仿宋_GB2312"/>
          <w:szCs w:val="32"/>
        </w:rPr>
        <w:t>%。现代服务业发展活力持续增强，响沙湾“一港四岛”格局形成，恩格贝生态示范区成为国家生态旅游示范区，光伏基地骏马电站通过吉尼斯世界纪录认证，</w:t>
      </w:r>
      <w:r>
        <w:rPr>
          <w:rFonts w:hint="eastAsia" w:ascii="仿宋_GB2312" w:hAnsi="仿宋_GB2312" w:eastAsia="仿宋_GB2312" w:cs="仿宋_GB2312"/>
        </w:rPr>
        <w:t>全旗累计接待游客</w:t>
      </w:r>
      <w:r>
        <w:rPr>
          <w:rFonts w:hint="eastAsia" w:ascii="仿宋_GB2312" w:hAnsi="仿宋_GB2312" w:eastAsia="仿宋_GB2312" w:cs="仿宋_GB2312"/>
          <w:lang w:val="en-US"/>
        </w:rPr>
        <w:t>1189.6</w:t>
      </w:r>
      <w:r>
        <w:rPr>
          <w:rFonts w:hint="eastAsia" w:ascii="仿宋_GB2312" w:hAnsi="仿宋_GB2312" w:eastAsia="仿宋_GB2312" w:cs="仿宋_GB2312"/>
        </w:rPr>
        <w:t>万人，实现旅游收入</w:t>
      </w:r>
      <w:r>
        <w:rPr>
          <w:rFonts w:hint="eastAsia" w:ascii="仿宋_GB2312" w:hAnsi="仿宋_GB2312" w:eastAsia="仿宋_GB2312" w:cs="仿宋_GB2312"/>
          <w:lang w:val="en-US"/>
        </w:rPr>
        <w:t>330</w:t>
      </w:r>
      <w:r>
        <w:rPr>
          <w:rFonts w:hint="eastAsia" w:ascii="仿宋_GB2312" w:hAnsi="仿宋_GB2312" w:eastAsia="仿宋_GB2312" w:cs="仿宋_GB2312"/>
        </w:rPr>
        <w:t>亿元；</w:t>
      </w:r>
      <w:r>
        <w:rPr>
          <w:rFonts w:hint="eastAsia" w:ascii="仿宋_GB2312" w:hAnsi="仿宋_GB2312" w:eastAsia="仿宋_GB2312" w:cs="仿宋_GB2312"/>
          <w:szCs w:val="32"/>
          <w:lang w:val="en-US"/>
        </w:rPr>
        <w:t>博泰马场壕</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晋煤</w:t>
      </w:r>
      <w:r>
        <w:rPr>
          <w:rFonts w:hint="eastAsia" w:ascii="仿宋_GB2312" w:hAnsi="仿宋_GB2312" w:eastAsia="仿宋_GB2312" w:cs="仿宋_GB2312"/>
          <w:szCs w:val="32"/>
        </w:rPr>
        <w:t>点石沟</w:t>
      </w:r>
      <w:r>
        <w:rPr>
          <w:rFonts w:hint="eastAsia" w:ascii="仿宋_GB2312" w:hAnsi="仿宋_GB2312" w:eastAsia="仿宋_GB2312" w:cs="仿宋_GB2312"/>
          <w:szCs w:val="32"/>
          <w:lang w:val="en-US"/>
        </w:rPr>
        <w:t>等8个</w:t>
      </w:r>
      <w:r>
        <w:rPr>
          <w:rFonts w:hint="eastAsia" w:ascii="仿宋_GB2312" w:hAnsi="仿宋_GB2312" w:eastAsia="仿宋_GB2312" w:cs="仿宋_GB2312"/>
          <w:szCs w:val="32"/>
        </w:rPr>
        <w:t>铁路集装站</w:t>
      </w:r>
      <w:r>
        <w:rPr>
          <w:rFonts w:hint="eastAsia" w:ascii="仿宋_GB2312" w:hAnsi="仿宋_GB2312" w:eastAsia="仿宋_GB2312" w:cs="仿宋_GB2312"/>
          <w:szCs w:val="32"/>
          <w:lang w:val="en-US"/>
        </w:rPr>
        <w:t>建成投用，包神铁路朝脑沟集运站和沿河铁路吴四圪堵集运站</w:t>
      </w:r>
      <w:r>
        <w:rPr>
          <w:rFonts w:hint="eastAsia" w:ascii="仿宋_GB2312" w:hAnsi="仿宋_GB2312" w:eastAsia="仿宋_GB2312" w:cs="仿宋_GB2312"/>
          <w:szCs w:val="32"/>
        </w:rPr>
        <w:t>正在加快建设，现代物流体系初步形成规模；全旗银行类金融机构达到13家，成为自治区金融支持县域经济发展试点。</w:t>
      </w:r>
    </w:p>
    <w:p w14:paraId="70CF1827">
      <w:pPr>
        <w:spacing w:line="600" w:lineRule="exact"/>
        <w:ind w:firstLine="643"/>
        <w:rPr>
          <w:rFonts w:ascii="仿宋_GB2312" w:hAnsi="仿宋_GB2312" w:eastAsia="仿宋_GB2312" w:cs="仿宋_GB2312"/>
        </w:rPr>
      </w:pPr>
      <w:bookmarkStart w:id="46" w:name="_Toc21"/>
      <w:bookmarkStart w:id="47" w:name="_Toc29635"/>
      <w:bookmarkStart w:id="48" w:name="_Toc18354"/>
      <w:r>
        <w:rPr>
          <w:rStyle w:val="34"/>
          <w:rFonts w:hint="eastAsia" w:ascii="楷体_GB2312" w:hAnsi="楷体_GB2312" w:eastAsia="楷体_GB2312" w:cs="楷体_GB2312"/>
        </w:rPr>
        <w:t>——三大攻坚战</w:t>
      </w:r>
      <w:bookmarkEnd w:id="46"/>
      <w:bookmarkEnd w:id="47"/>
      <w:bookmarkEnd w:id="48"/>
      <w:r>
        <w:rPr>
          <w:rStyle w:val="34"/>
          <w:rFonts w:hint="eastAsia" w:ascii="楷体_GB2312" w:hAnsi="楷体_GB2312" w:eastAsia="楷体_GB2312" w:cs="楷体_GB2312"/>
        </w:rPr>
        <w:t>成就显著</w:t>
      </w:r>
      <w:r>
        <w:rPr>
          <w:rFonts w:hint="eastAsia" w:ascii="楷体_GB2312" w:hAnsi="楷体_GB2312" w:eastAsia="楷体_GB2312" w:cs="楷体_GB2312"/>
        </w:rPr>
        <w:t>。</w:t>
      </w:r>
      <w:r>
        <w:rPr>
          <w:rFonts w:hint="eastAsia" w:ascii="仿宋_GB2312" w:hAnsi="仿宋_GB2312" w:eastAsia="仿宋_GB2312" w:cs="仿宋_GB2312"/>
          <w:szCs w:val="32"/>
        </w:rPr>
        <w:t>成功防范化解重大金融风险，累计化解政府债务67.1亿元，处置银行不良贷款2.3亿元，守住了不发生区域性金融风险的底线；专项整治非法集资、农村牧区高利贷取得阶段性成效。脱贫攻坚取得重大成就，累计投入扶贫资金5.2亿元，发放扶贫贷款3.9亿元，扶持2</w:t>
      </w:r>
      <w:r>
        <w:rPr>
          <w:rFonts w:hint="eastAsia" w:ascii="仿宋_GB2312" w:hAnsi="仿宋_GB2312" w:eastAsia="仿宋_GB2312" w:cs="仿宋_GB2312"/>
          <w:szCs w:val="32"/>
          <w:lang w:val="en-US"/>
        </w:rPr>
        <w:t>442</w:t>
      </w:r>
      <w:r>
        <w:rPr>
          <w:rFonts w:hint="eastAsia" w:ascii="仿宋_GB2312" w:hAnsi="仿宋_GB2312" w:eastAsia="仿宋_GB2312" w:cs="仿宋_GB2312"/>
          <w:szCs w:val="32"/>
        </w:rPr>
        <w:t>户</w:t>
      </w:r>
      <w:r>
        <w:rPr>
          <w:rFonts w:hint="eastAsia" w:ascii="仿宋_GB2312" w:hAnsi="仿宋_GB2312" w:eastAsia="仿宋_GB2312" w:cs="仿宋_GB2312"/>
          <w:szCs w:val="32"/>
          <w:lang w:val="en-US"/>
        </w:rPr>
        <w:t>5838</w:t>
      </w:r>
      <w:r>
        <w:rPr>
          <w:rFonts w:hint="eastAsia" w:ascii="仿宋_GB2312" w:hAnsi="仿宋_GB2312" w:eastAsia="仿宋_GB2312" w:cs="仿宋_GB2312"/>
          <w:szCs w:val="32"/>
        </w:rPr>
        <w:t>名贫困人口实现稳定脱贫，建档立卡贫困户与企业实现100</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利益联结，</w:t>
      </w:r>
      <w:r>
        <w:rPr>
          <w:rFonts w:hint="eastAsia" w:ascii="仿宋_GB2312" w:hAnsi="仿宋_GB2312" w:eastAsia="仿宋_GB2312" w:cs="仿宋_GB2312"/>
          <w:szCs w:val="32"/>
          <w:lang w:val="en-US"/>
        </w:rPr>
        <w:t>与全国一道如期实现全面脱贫的目标</w:t>
      </w:r>
      <w:r>
        <w:rPr>
          <w:rFonts w:hint="eastAsia" w:ascii="仿宋_GB2312" w:hAnsi="仿宋_GB2312" w:eastAsia="仿宋_GB2312" w:cs="仿宋_GB2312"/>
          <w:szCs w:val="32"/>
        </w:rPr>
        <w:t>。不遗余力打响防污保卫战</w:t>
      </w:r>
      <w:r>
        <w:rPr>
          <w:rFonts w:hint="eastAsia" w:ascii="仿宋_GB2312" w:hAnsi="仿宋_GB2312" w:eastAsia="仿宋_GB2312" w:cs="仿宋_GB2312"/>
        </w:rPr>
        <w:t>，</w:t>
      </w:r>
      <w:r>
        <w:rPr>
          <w:rFonts w:hint="eastAsia" w:ascii="仿宋_GB2312" w:hAnsi="仿宋_GB2312" w:eastAsia="仿宋_GB2312" w:cs="仿宋_GB2312"/>
          <w:szCs w:val="32"/>
        </w:rPr>
        <w:t>城市污水处理率保持在</w:t>
      </w:r>
      <w:r>
        <w:rPr>
          <w:rFonts w:hint="eastAsia" w:ascii="仿宋_GB2312" w:hAnsi="仿宋_GB2312" w:eastAsia="仿宋_GB2312" w:cs="仿宋_GB2312"/>
          <w:szCs w:val="32"/>
          <w:lang w:val="en-US"/>
        </w:rPr>
        <w:t>80%左右</w:t>
      </w:r>
      <w:r>
        <w:rPr>
          <w:rFonts w:hint="eastAsia" w:ascii="仿宋_GB2312" w:hAnsi="仿宋_GB2312" w:eastAsia="仿宋_GB2312" w:cs="仿宋_GB2312"/>
          <w:szCs w:val="32"/>
        </w:rPr>
        <w:t>，农村牧区生活污水收集率达到20</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；完成20台燃煤机组超低排放改造，淘汰燃煤锅炉158台，升级改造燃煤锅炉42台，主要污染物排放有效削减，全旗空气质量优良</w:t>
      </w:r>
      <w:r>
        <w:rPr>
          <w:rFonts w:hint="eastAsia" w:ascii="仿宋_GB2312" w:hAnsi="仿宋_GB2312" w:eastAsia="仿宋_GB2312" w:cs="仿宋_GB2312"/>
        </w:rPr>
        <w:t>率保持在</w:t>
      </w:r>
      <w:r>
        <w:rPr>
          <w:rFonts w:hint="eastAsia" w:ascii="仿宋_GB2312" w:hAnsi="仿宋_GB2312" w:eastAsia="仿宋_GB2312" w:cs="仿宋_GB2312"/>
          <w:lang w:val="en-US"/>
        </w:rPr>
        <w:t>80%左右</w:t>
      </w:r>
      <w:r>
        <w:rPr>
          <w:rFonts w:hint="eastAsia" w:ascii="仿宋_GB2312" w:hAnsi="仿宋_GB2312" w:eastAsia="仿宋_GB2312" w:cs="仿宋_GB2312"/>
          <w:szCs w:val="32"/>
        </w:rPr>
        <w:t>；农村牧区生活垃圾无害化处理率达到60</w:t>
      </w:r>
      <w:r>
        <w:rPr>
          <w:rFonts w:hint="eastAsia" w:ascii="仿宋_GB2312" w:hAnsi="仿宋_GB2312" w:eastAsia="仿宋_GB2312" w:cs="仿宋_GB2312"/>
          <w:szCs w:val="32"/>
          <w:lang w:val="en-US"/>
        </w:rPr>
        <w:t>%以上</w:t>
      </w:r>
      <w:r>
        <w:rPr>
          <w:rFonts w:hint="eastAsia" w:ascii="仿宋_GB2312" w:hAnsi="仿宋_GB2312" w:eastAsia="仿宋_GB2312" w:cs="仿宋_GB2312"/>
          <w:szCs w:val="32"/>
        </w:rPr>
        <w:t>，固体废物和危险废物实现精细化、全过程管理，工业固废物、城镇医疗废物、危险废物处置均达到100%。</w:t>
      </w:r>
      <w:bookmarkStart w:id="49" w:name="_Toc14770"/>
      <w:bookmarkStart w:id="50" w:name="_Toc10515"/>
      <w:bookmarkStart w:id="51" w:name="_Toc8726"/>
    </w:p>
    <w:p w14:paraId="3E76A399">
      <w:pPr>
        <w:spacing w:line="600" w:lineRule="exact"/>
        <w:ind w:firstLine="643"/>
        <w:rPr>
          <w:rFonts w:ascii="Times New Roman" w:hAnsi="Times New Roman" w:cs="Times New Roman"/>
        </w:rPr>
      </w:pPr>
      <w:r>
        <w:rPr>
          <w:rStyle w:val="34"/>
          <w:rFonts w:hint="eastAsia" w:ascii="楷体_GB2312" w:hAnsi="楷体_GB2312" w:eastAsia="楷体_GB2312" w:cs="楷体_GB2312"/>
        </w:rPr>
        <w:t>——</w:t>
      </w:r>
      <w:r>
        <w:rPr>
          <w:rStyle w:val="34"/>
          <w:rFonts w:hint="eastAsia" w:ascii="仿宋_GB2312" w:hAnsi="仿宋_GB2312" w:eastAsia="仿宋_GB2312" w:cs="仿宋_GB2312"/>
        </w:rPr>
        <w:t>基础设施进一步完善</w:t>
      </w:r>
      <w:bookmarkEnd w:id="49"/>
      <w:bookmarkEnd w:id="50"/>
      <w:bookmarkEnd w:id="51"/>
      <w:r>
        <w:rPr>
          <w:rFonts w:hint="eastAsia" w:ascii="仿宋_GB2312" w:hAnsi="仿宋_GB2312" w:eastAsia="仿宋_GB2312" w:cs="仿宋_GB2312"/>
        </w:rPr>
        <w:t>。</w:t>
      </w:r>
      <w:r>
        <w:rPr>
          <w:rFonts w:hint="eastAsia" w:ascii="仿宋_GB2312" w:hAnsi="仿宋_GB2312" w:eastAsia="仿宋_GB2312" w:cs="仿宋_GB2312"/>
          <w:szCs w:val="32"/>
        </w:rPr>
        <w:t>G65包茂高速改扩建、沿黄一级改高速、国道210线改建等一批重大交通项目建成通车，建设县乡公路52条、总里程1154.8公里，成为全国“四好农村路”示范旗。黄河二期防洪工程通过竣工验收，壕庆河、呼斯太河等中小河流治理持续推进，水利惠民深入人心。王爱召、营盘、五座塔等输变电工程建成投运，完成城乡电网线路改造</w:t>
      </w:r>
      <w:r>
        <w:rPr>
          <w:rFonts w:hint="eastAsia" w:ascii="仿宋_GB2312" w:hAnsi="仿宋_GB2312" w:eastAsia="仿宋_GB2312" w:cs="仿宋_GB2312"/>
          <w:szCs w:val="32"/>
          <w:lang w:val="en-US"/>
        </w:rPr>
        <w:t>2347</w:t>
      </w:r>
      <w:r>
        <w:rPr>
          <w:rFonts w:hint="eastAsia" w:ascii="仿宋_GB2312" w:hAnsi="仿宋_GB2312" w:eastAsia="仿宋_GB2312" w:cs="仿宋_GB2312"/>
          <w:szCs w:val="32"/>
        </w:rPr>
        <w:t>公里，城乡电网日趋完善。“宽带下乡村”、“电信普遍服务试点”、“提速降费”等工程有序实施，智慧城市联动指挥中心和安全生产信息化平台建成投用，3G/4G网络实现城乡全覆盖，智慧城市建设取得阶段性成就。新增市政道路10.5公里、城镇绿地22万平方米，建成体育中心</w:t>
      </w:r>
      <w:r>
        <w:rPr>
          <w:rFonts w:hint="eastAsia" w:ascii="仿宋_GB2312" w:hAnsi="仿宋_GB2312" w:eastAsia="仿宋_GB2312" w:cs="仿宋_GB2312"/>
          <w:szCs w:val="32"/>
          <w:lang w:val="en-US"/>
        </w:rPr>
        <w:t>1</w:t>
      </w:r>
      <w:r>
        <w:rPr>
          <w:rFonts w:hint="eastAsia" w:ascii="仿宋_GB2312" w:hAnsi="仿宋_GB2312" w:eastAsia="仿宋_GB2312" w:cs="仿宋_GB2312"/>
          <w:szCs w:val="32"/>
        </w:rPr>
        <w:t>处，打造乡村振兴示范村9个，实施人畜安全饮水工程144处、受惠16.8万人，城市自来水普及率达到99.4%，镇区集中供热面积达到</w:t>
      </w:r>
      <w:r>
        <w:rPr>
          <w:rFonts w:hint="eastAsia" w:ascii="仿宋_GB2312" w:hAnsi="仿宋_GB2312" w:eastAsia="仿宋_GB2312" w:cs="仿宋_GB2312"/>
          <w:szCs w:val="32"/>
          <w:lang w:val="en-US"/>
        </w:rPr>
        <w:t>922</w:t>
      </w:r>
      <w:r>
        <w:rPr>
          <w:rFonts w:hint="eastAsia" w:ascii="仿宋_GB2312" w:hAnsi="仿宋_GB2312" w:eastAsia="仿宋_GB2312" w:cs="仿宋_GB2312"/>
          <w:szCs w:val="32"/>
        </w:rPr>
        <w:t>万平方米，荣获国家卫生县城和自治区文明县城称号。</w:t>
      </w:r>
      <w:bookmarkStart w:id="52" w:name="_Toc59098735"/>
    </w:p>
    <w:p w14:paraId="4CBCC026">
      <w:pPr>
        <w:spacing w:line="600" w:lineRule="exact"/>
        <w:ind w:firstLine="643"/>
        <w:rPr>
          <w:rFonts w:ascii="仿宋_GB2312" w:hAnsi="仿宋_GB2312" w:eastAsia="仿宋_GB2312" w:cs="仿宋_GB2312"/>
        </w:rPr>
      </w:pPr>
      <w:bookmarkStart w:id="53" w:name="_Toc3772"/>
      <w:bookmarkStart w:id="54" w:name="_Toc28393"/>
      <w:bookmarkStart w:id="55" w:name="_Toc5737"/>
      <w:r>
        <w:rPr>
          <w:rStyle w:val="34"/>
          <w:rFonts w:hint="eastAsia" w:ascii="楷体_GB2312" w:hAnsi="楷体_GB2312" w:eastAsia="楷体_GB2312" w:cs="楷体_GB2312"/>
        </w:rPr>
        <w:t>——科创事业蓬勃发展</w:t>
      </w:r>
      <w:bookmarkEnd w:id="52"/>
      <w:bookmarkEnd w:id="53"/>
      <w:bookmarkEnd w:id="54"/>
      <w:bookmarkEnd w:id="55"/>
      <w:r>
        <w:rPr>
          <w:rFonts w:hint="eastAsia" w:ascii="楷体_GB2312" w:hAnsi="楷体_GB2312" w:eastAsia="楷体_GB2312" w:cs="楷体_GB2312"/>
        </w:rPr>
        <w:t>。</w:t>
      </w:r>
      <w:r>
        <w:rPr>
          <w:rFonts w:hint="eastAsia" w:ascii="仿宋_GB2312" w:hAnsi="仿宋_GB2312" w:eastAsia="仿宋_GB2312" w:cs="仿宋_GB2312"/>
          <w:szCs w:val="32"/>
        </w:rPr>
        <w:t>制定支持科技创新政策，设立了科技创新奖励资金，成立浙大清洁能源创新研究院，取得国家专利授权</w:t>
      </w:r>
      <w:r>
        <w:rPr>
          <w:rFonts w:hint="eastAsia" w:ascii="仿宋_GB2312" w:hAnsi="仿宋_GB2312" w:eastAsia="仿宋_GB2312" w:cs="仿宋_GB2312"/>
          <w:szCs w:val="32"/>
          <w:lang w:val="en-US"/>
        </w:rPr>
        <w:t>651</w:t>
      </w:r>
      <w:r>
        <w:rPr>
          <w:rFonts w:hint="eastAsia" w:ascii="仿宋_GB2312" w:hAnsi="仿宋_GB2312" w:eastAsia="仿宋_GB2312" w:cs="仿宋_GB2312"/>
          <w:szCs w:val="32"/>
        </w:rPr>
        <w:t>项，国家、自治区行业认证科技成果16项，累计转化运用科技成果</w:t>
      </w:r>
      <w:r>
        <w:rPr>
          <w:rFonts w:hint="eastAsia" w:ascii="仿宋_GB2312" w:hAnsi="仿宋_GB2312" w:eastAsia="仿宋_GB2312" w:cs="仿宋_GB2312"/>
          <w:szCs w:val="32"/>
          <w:lang w:val="en-US"/>
        </w:rPr>
        <w:t>520</w:t>
      </w:r>
      <w:r>
        <w:rPr>
          <w:rFonts w:hint="eastAsia" w:ascii="仿宋_GB2312" w:hAnsi="仿宋_GB2312" w:eastAsia="仿宋_GB2312" w:cs="仿宋_GB2312"/>
          <w:szCs w:val="32"/>
        </w:rPr>
        <w:t>项；培育国家高新技术企业13家，建成自治区级企业研究开发中心13家，建成国家、自治区级星创天地和众创空间</w:t>
      </w:r>
      <w:r>
        <w:rPr>
          <w:rFonts w:hint="eastAsia" w:ascii="仿宋_GB2312" w:hAnsi="仿宋_GB2312" w:eastAsia="仿宋_GB2312" w:cs="仿宋_GB2312"/>
          <w:szCs w:val="32"/>
          <w:lang w:val="en-US"/>
        </w:rPr>
        <w:t>10</w:t>
      </w:r>
      <w:r>
        <w:rPr>
          <w:rFonts w:hint="eastAsia" w:ascii="仿宋_GB2312" w:hAnsi="仿宋_GB2312" w:eastAsia="仿宋_GB2312" w:cs="仿宋_GB2312"/>
          <w:szCs w:val="32"/>
        </w:rPr>
        <w:t>家。实施全民科学素质提升行动，科技普及推广力度持续加大。深化人才强旗战略，引进高层次人才和实用型人才9人；开展“人才引领促发展”行动，加速培养了一批行业领军人才、企业家人才和高技能人才队伍。</w:t>
      </w:r>
      <w:bookmarkStart w:id="56" w:name="_Toc59098736"/>
    </w:p>
    <w:p w14:paraId="0827F6E0">
      <w:pPr>
        <w:spacing w:line="600" w:lineRule="exact"/>
        <w:ind w:firstLine="643"/>
        <w:rPr>
          <w:rFonts w:ascii="Times New Roman" w:hAnsi="Times New Roman" w:cs="Times New Roman"/>
        </w:rPr>
      </w:pPr>
      <w:bookmarkStart w:id="57" w:name="_Toc20157"/>
      <w:bookmarkStart w:id="58" w:name="_Toc2692"/>
      <w:bookmarkStart w:id="59" w:name="_Toc6802"/>
      <w:r>
        <w:rPr>
          <w:rStyle w:val="34"/>
          <w:rFonts w:hint="eastAsia" w:ascii="楷体_GB2312" w:hAnsi="楷体_GB2312" w:eastAsia="楷体_GB2312" w:cs="楷体_GB2312"/>
        </w:rPr>
        <w:t>——生态</w:t>
      </w:r>
      <w:bookmarkEnd w:id="56"/>
      <w:r>
        <w:rPr>
          <w:rStyle w:val="34"/>
          <w:rFonts w:hint="eastAsia" w:ascii="楷体_GB2312" w:hAnsi="楷体_GB2312" w:eastAsia="楷体_GB2312" w:cs="楷体_GB2312"/>
        </w:rPr>
        <w:t>环境持续改善</w:t>
      </w:r>
      <w:bookmarkEnd w:id="57"/>
      <w:bookmarkEnd w:id="58"/>
      <w:bookmarkEnd w:id="59"/>
      <w:r>
        <w:rPr>
          <w:rFonts w:hint="eastAsia" w:ascii="楷体_GB2312" w:hAnsi="楷体_GB2312" w:eastAsia="楷体_GB2312" w:cs="楷体_GB2312"/>
        </w:rPr>
        <w:t>。</w:t>
      </w:r>
      <w:r>
        <w:rPr>
          <w:rFonts w:hint="eastAsia" w:ascii="仿宋_GB2312" w:hAnsi="仿宋_GB2312" w:eastAsia="仿宋_GB2312" w:cs="仿宋_GB2312"/>
          <w:szCs w:val="32"/>
        </w:rPr>
        <w:t>严格落实主体功能区制度，持续推进国土绿化行动，完成林业生态工程</w:t>
      </w:r>
      <w:r>
        <w:rPr>
          <w:rFonts w:hint="eastAsia" w:ascii="仿宋_GB2312" w:hAnsi="仿宋_GB2312" w:eastAsia="仿宋_GB2312" w:cs="仿宋_GB2312"/>
          <w:szCs w:val="32"/>
          <w:lang w:val="en-US"/>
        </w:rPr>
        <w:t>65.3万亩，</w:t>
      </w:r>
      <w:r>
        <w:rPr>
          <w:rFonts w:hint="eastAsia" w:ascii="仿宋_GB2312" w:hAnsi="仿宋_GB2312" w:eastAsia="仿宋_GB2312" w:cs="仿宋_GB2312"/>
          <w:szCs w:val="32"/>
        </w:rPr>
        <w:t>新增水土流失治理面积</w:t>
      </w:r>
      <w:r>
        <w:rPr>
          <w:rFonts w:hint="eastAsia" w:ascii="仿宋_GB2312" w:hAnsi="仿宋_GB2312" w:eastAsia="仿宋_GB2312" w:cs="仿宋_GB2312"/>
          <w:szCs w:val="32"/>
          <w:lang w:val="en-US"/>
        </w:rPr>
        <w:t>112</w:t>
      </w:r>
      <w:r>
        <w:rPr>
          <w:rFonts w:hint="eastAsia" w:ascii="仿宋_GB2312" w:hAnsi="仿宋_GB2312" w:eastAsia="仿宋_GB2312" w:cs="仿宋_GB2312"/>
          <w:szCs w:val="32"/>
        </w:rPr>
        <w:t>万亩，森林覆盖率达到28.9%，植被覆盖度达到</w:t>
      </w:r>
      <w:r>
        <w:rPr>
          <w:rFonts w:hint="eastAsia" w:ascii="仿宋_GB2312" w:hAnsi="仿宋_GB2312" w:eastAsia="仿宋_GB2312" w:cs="仿宋_GB2312"/>
          <w:szCs w:val="32"/>
          <w:lang w:val="en-US"/>
        </w:rPr>
        <w:t>78.8</w:t>
      </w:r>
      <w:r>
        <w:rPr>
          <w:rFonts w:hint="eastAsia" w:ascii="仿宋_GB2312" w:hAnsi="仿宋_GB2312" w:eastAsia="仿宋_GB2312" w:cs="仿宋_GB2312"/>
          <w:szCs w:val="32"/>
        </w:rPr>
        <w:t>%，被授予国家园林县城称号，</w:t>
      </w:r>
      <w:r>
        <w:rPr>
          <w:rFonts w:hint="eastAsia" w:ascii="仿宋_GB2312" w:hAnsi="仿宋_GB2312" w:eastAsia="仿宋_GB2312" w:cs="仿宋_GB2312"/>
        </w:rPr>
        <w:t>库布其沙漠治理模式成为全球荒漠化治理样板。</w:t>
      </w:r>
      <w:r>
        <w:rPr>
          <w:rFonts w:hint="eastAsia" w:ascii="仿宋_GB2312" w:hAnsi="仿宋_GB2312" w:eastAsia="仿宋_GB2312" w:cs="仿宋_GB2312"/>
          <w:szCs w:val="32"/>
        </w:rPr>
        <w:t>强化饮用水源地保护，城镇及以上集中式饮用水源地水质达到或优于Ⅲ类比例稳定在100</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受污染耕地安全利用率达到</w:t>
      </w:r>
      <w:r>
        <w:rPr>
          <w:rFonts w:hint="eastAsia" w:ascii="仿宋_GB2312" w:hAnsi="仿宋_GB2312" w:eastAsia="仿宋_GB2312" w:cs="仿宋_GB2312"/>
          <w:szCs w:val="32"/>
          <w:lang w:val="en-US"/>
        </w:rPr>
        <w:t>100</w:t>
      </w:r>
      <w:r>
        <w:rPr>
          <w:rFonts w:hint="eastAsia" w:ascii="仿宋_GB2312" w:hAnsi="仿宋_GB2312" w:eastAsia="仿宋_GB2312" w:cs="仿宋_GB2312"/>
          <w:szCs w:val="32"/>
        </w:rPr>
        <w:t>%，土壤环境质量整体良好。全面实施矿区环境综合整治，煤炭物流园区、露天煤矿煤场实现全封闭治理，完成粉末状物状堆场全封闭工程700万平方米。</w:t>
      </w:r>
      <w:bookmarkStart w:id="60" w:name="_Toc59098738"/>
    </w:p>
    <w:bookmarkEnd w:id="60"/>
    <w:p w14:paraId="75BCA691">
      <w:pPr>
        <w:spacing w:line="600" w:lineRule="exact"/>
        <w:ind w:firstLine="643"/>
        <w:rPr>
          <w:rFonts w:ascii="Times New Roman" w:hAnsi="Times New Roman" w:eastAsia="仿宋_GB2312" w:cs="Times New Roman"/>
        </w:rPr>
      </w:pPr>
      <w:bookmarkStart w:id="61" w:name="_Toc27719"/>
      <w:bookmarkStart w:id="62" w:name="_Toc25808"/>
      <w:bookmarkStart w:id="63" w:name="_Toc12000"/>
      <w:bookmarkStart w:id="64" w:name="_Toc59098739"/>
      <w:r>
        <w:rPr>
          <w:rStyle w:val="34"/>
          <w:rFonts w:hint="eastAsia" w:ascii="楷体_GB2312" w:hAnsi="楷体_GB2312" w:eastAsia="楷体_GB2312" w:cs="楷体_GB2312"/>
        </w:rPr>
        <w:t>——民生社会事业全面发展</w:t>
      </w:r>
      <w:bookmarkEnd w:id="61"/>
      <w:bookmarkEnd w:id="62"/>
      <w:bookmarkEnd w:id="63"/>
      <w:bookmarkEnd w:id="64"/>
      <w:r>
        <w:rPr>
          <w:rFonts w:hint="eastAsia" w:ascii="楷体_GB2312" w:hAnsi="楷体_GB2312" w:eastAsia="楷体_GB2312" w:cs="楷体_GB2312"/>
        </w:rPr>
        <w:t>。</w:t>
      </w:r>
      <w:r>
        <w:rPr>
          <w:rFonts w:hint="eastAsia" w:ascii="仿宋_GB2312" w:hAnsi="仿宋_GB2312" w:eastAsia="仿宋_GB2312" w:cs="仿宋_GB2312"/>
          <w:szCs w:val="32"/>
        </w:rPr>
        <w:t>就业促进工程成效显著，累计新增城镇就业</w:t>
      </w:r>
      <w:r>
        <w:rPr>
          <w:rFonts w:hint="eastAsia" w:ascii="仿宋_GB2312" w:hAnsi="仿宋_GB2312" w:eastAsia="仿宋_GB2312" w:cs="仿宋_GB2312"/>
          <w:szCs w:val="32"/>
          <w:lang w:val="en-US"/>
        </w:rPr>
        <w:t>1.95万</w:t>
      </w:r>
      <w:r>
        <w:rPr>
          <w:rFonts w:hint="eastAsia" w:ascii="仿宋_GB2312" w:hAnsi="仿宋_GB2312" w:eastAsia="仿宋_GB2312" w:cs="仿宋_GB2312"/>
          <w:szCs w:val="32"/>
        </w:rPr>
        <w:t>人，城镇登记失业率控制在</w:t>
      </w:r>
      <w:r>
        <w:rPr>
          <w:rFonts w:hint="eastAsia" w:ascii="仿宋_GB2312" w:hAnsi="仿宋_GB2312" w:eastAsia="仿宋_GB2312" w:cs="仿宋_GB2312"/>
          <w:szCs w:val="32"/>
          <w:lang w:val="en-US"/>
        </w:rPr>
        <w:t>3.32</w:t>
      </w:r>
      <w:r>
        <w:rPr>
          <w:rFonts w:hint="eastAsia" w:ascii="仿宋_GB2312" w:hAnsi="仿宋_GB2312" w:eastAsia="仿宋_GB2312" w:cs="仿宋_GB2312"/>
          <w:szCs w:val="32"/>
        </w:rPr>
        <w:t>%以内。教育均衡化稳步提升，新建和改扩建中小学校、幼儿园</w:t>
      </w:r>
      <w:r>
        <w:rPr>
          <w:rFonts w:hint="eastAsia" w:ascii="仿宋_GB2312" w:hAnsi="仿宋_GB2312" w:eastAsia="仿宋_GB2312" w:cs="仿宋_GB2312"/>
          <w:szCs w:val="32"/>
          <w:lang w:val="en-US"/>
        </w:rPr>
        <w:t>45所</w:t>
      </w:r>
      <w:r>
        <w:rPr>
          <w:rFonts w:hint="eastAsia" w:ascii="仿宋_GB2312" w:hAnsi="仿宋_GB2312" w:eastAsia="仿宋_GB2312" w:cs="仿宋_GB2312"/>
          <w:szCs w:val="32"/>
        </w:rPr>
        <w:t>，新招聘教师1341名，小学、初中适龄儿童入学率均达到100%，残疾儿童入学率达到95.2%，高考本科上线率保持全市前列。医疗卫生服务体系日趋完善，组建成立区域医共体9个、专科联盟3个、医联体15个，组建家庭医生服务团队131个，全人群签约医生22.3万人，荣膺国家卫生县城、自治区卫生应急规范旗县和国家妇幼健康优质服务示范旗。公共文化服务水平进一步提高，新建博物馆、图书馆启动装修布展，新建和改扩建基层文化活动阵地5个，新建全民健身体育场馆3个；文化与旅游紧密结合，响沙湾被文化部评为“国家文化产业示范基地”，恩格贝被评为“自治区文化产业示范基地”。社保覆盖面进一步扩大，基本养老保险参保人数达到19.3万人，企业退休职工基本养老金达到2924元/月，城乡居民待遇提高至</w:t>
      </w:r>
      <w:r>
        <w:rPr>
          <w:rFonts w:hint="eastAsia" w:ascii="仿宋_GB2312" w:hAnsi="仿宋_GB2312" w:eastAsia="仿宋_GB2312" w:cs="仿宋_GB2312"/>
          <w:lang w:val="en-US"/>
        </w:rPr>
        <w:t>615</w:t>
      </w:r>
      <w:r>
        <w:rPr>
          <w:rFonts w:hint="eastAsia" w:ascii="仿宋_GB2312" w:hAnsi="仿宋_GB2312" w:eastAsia="仿宋_GB2312" w:cs="仿宋_GB2312"/>
        </w:rPr>
        <w:t>元/月和5</w:t>
      </w:r>
      <w:r>
        <w:rPr>
          <w:rFonts w:hint="eastAsia" w:ascii="仿宋_GB2312" w:hAnsi="仿宋_GB2312" w:eastAsia="仿宋_GB2312" w:cs="仿宋_GB2312"/>
          <w:lang w:val="en-US"/>
        </w:rPr>
        <w:t>20</w:t>
      </w:r>
      <w:r>
        <w:rPr>
          <w:rFonts w:hint="eastAsia" w:ascii="仿宋_GB2312" w:hAnsi="仿宋_GB2312" w:eastAsia="仿宋_GB2312" w:cs="仿宋_GB2312"/>
        </w:rPr>
        <w:t>元</w:t>
      </w:r>
      <w:r>
        <w:rPr>
          <w:rFonts w:hint="eastAsia" w:ascii="仿宋_GB2312" w:hAnsi="仿宋_GB2312" w:eastAsia="仿宋_GB2312" w:cs="仿宋_GB2312"/>
          <w:lang w:val="en-US"/>
        </w:rPr>
        <w:t>/月</w:t>
      </w:r>
      <w:r>
        <w:rPr>
          <w:rFonts w:hint="eastAsia" w:ascii="仿宋_GB2312" w:hAnsi="仿宋_GB2312" w:eastAsia="仿宋_GB2312" w:cs="仿宋_GB2312"/>
          <w:szCs w:val="32"/>
        </w:rPr>
        <w:t>。社会救助兜底保障进一步加强，城乡低保标准分别达到</w:t>
      </w:r>
      <w:r>
        <w:rPr>
          <w:rFonts w:hint="eastAsia" w:ascii="仿宋_GB2312" w:hAnsi="仿宋_GB2312" w:eastAsia="仿宋_GB2312" w:cs="仿宋_GB2312"/>
          <w:lang w:val="en-US"/>
        </w:rPr>
        <w:t>790</w:t>
      </w:r>
      <w:r>
        <w:rPr>
          <w:rFonts w:hint="eastAsia" w:ascii="仿宋_GB2312" w:hAnsi="仿宋_GB2312" w:eastAsia="仿宋_GB2312" w:cs="仿宋_GB2312"/>
        </w:rPr>
        <w:t>/人/月和5</w:t>
      </w:r>
      <w:r>
        <w:rPr>
          <w:rFonts w:hint="eastAsia" w:ascii="仿宋_GB2312" w:hAnsi="仿宋_GB2312" w:eastAsia="仿宋_GB2312" w:cs="仿宋_GB2312"/>
          <w:lang w:val="en-US"/>
        </w:rPr>
        <w:t>60</w:t>
      </w:r>
      <w:r>
        <w:rPr>
          <w:rFonts w:hint="eastAsia" w:ascii="仿宋_GB2312" w:hAnsi="仿宋_GB2312" w:eastAsia="仿宋_GB2312" w:cs="仿宋_GB2312"/>
        </w:rPr>
        <w:t>元/人/月</w:t>
      </w:r>
      <w:r>
        <w:rPr>
          <w:rFonts w:hint="eastAsia" w:ascii="仿宋_GB2312" w:hAnsi="仿宋_GB2312" w:eastAsia="仿宋_GB2312" w:cs="仿宋_GB2312"/>
          <w:szCs w:val="32"/>
        </w:rPr>
        <w:t>。退役军人服务保障体系逐步健全，发放各类补贴</w:t>
      </w:r>
      <w:r>
        <w:rPr>
          <w:rFonts w:hint="eastAsia" w:ascii="仿宋_GB2312" w:hAnsi="仿宋_GB2312" w:eastAsia="仿宋_GB2312" w:cs="仿宋_GB2312"/>
        </w:rPr>
        <w:t>2</w:t>
      </w:r>
      <w:r>
        <w:rPr>
          <w:rFonts w:hint="eastAsia" w:ascii="仿宋_GB2312" w:hAnsi="仿宋_GB2312" w:eastAsia="仿宋_GB2312" w:cs="仿宋_GB2312"/>
          <w:lang w:val="en-US"/>
        </w:rPr>
        <w:t>803.4</w:t>
      </w:r>
      <w:r>
        <w:rPr>
          <w:rFonts w:hint="eastAsia" w:ascii="仿宋_GB2312" w:hAnsi="仿宋_GB2312" w:eastAsia="仿宋_GB2312" w:cs="仿宋_GB2312"/>
          <w:szCs w:val="32"/>
        </w:rPr>
        <w:t>万元。</w:t>
      </w:r>
    </w:p>
    <w:p w14:paraId="7AC821A4">
      <w:pPr>
        <w:spacing w:line="600" w:lineRule="exact"/>
        <w:ind w:firstLine="643"/>
        <w:rPr>
          <w:rFonts w:ascii="仿宋_GB2312" w:hAnsi="仿宋_GB2312" w:eastAsia="仿宋_GB2312" w:cs="仿宋_GB2312"/>
          <w:szCs w:val="32"/>
        </w:rPr>
      </w:pPr>
      <w:bookmarkStart w:id="65" w:name="_Toc27854"/>
      <w:bookmarkStart w:id="66" w:name="_Toc133"/>
      <w:bookmarkStart w:id="67" w:name="_Toc12593"/>
      <w:r>
        <w:rPr>
          <w:rStyle w:val="34"/>
          <w:rFonts w:hint="eastAsia" w:ascii="楷体_GB2312" w:hAnsi="楷体_GB2312" w:eastAsia="楷体_GB2312" w:cs="楷体_GB2312"/>
        </w:rPr>
        <w:t>——</w:t>
      </w:r>
      <w:r>
        <w:rPr>
          <w:rStyle w:val="34"/>
          <w:rFonts w:hint="eastAsia" w:ascii="楷体_GB2312" w:hAnsi="楷体_GB2312" w:eastAsia="楷体_GB2312" w:cs="楷体_GB2312"/>
          <w:lang w:val="en-US"/>
        </w:rPr>
        <w:t>改革创新取得重大突破</w:t>
      </w:r>
      <w:bookmarkEnd w:id="65"/>
      <w:bookmarkEnd w:id="66"/>
      <w:bookmarkEnd w:id="67"/>
      <w:r>
        <w:rPr>
          <w:rFonts w:hint="eastAsia" w:ascii="楷体_GB2312" w:hAnsi="楷体_GB2312" w:eastAsia="楷体_GB2312" w:cs="楷体_GB2312"/>
          <w:lang w:val="en-US"/>
        </w:rPr>
        <w:t>。</w:t>
      </w:r>
      <w:r>
        <w:rPr>
          <w:rFonts w:hint="eastAsia" w:ascii="仿宋_GB2312" w:hAnsi="仿宋_GB2312" w:eastAsia="仿宋_GB2312" w:cs="仿宋_GB2312"/>
          <w:szCs w:val="32"/>
        </w:rPr>
        <w:t>经济体制和生态文明领域改革深入推进，成为全国第二批农村改革试验区、农村承包土地经营权抵押贷款试点、全区农村牧区金融改革和县级公立医院改革试点。国家增量配电业务改革试点实现实质化运营，土地草牧场确权颁证基本完成，国有林场改革、供销社综合改革等重点改革取得新成效。集体林权制度改革迈出新步伐，在全区率先发放森林林木所有权证书，内置金融、校园足球等一批改革亮点得到上级肯定。</w:t>
      </w:r>
    </w:p>
    <w:p w14:paraId="66F4C9FF">
      <w:pPr>
        <w:spacing w:line="600" w:lineRule="exact"/>
        <w:ind w:firstLine="643"/>
        <w:rPr>
          <w:rFonts w:ascii="仿宋_GB2312" w:hAnsi="仿宋_GB2312" w:eastAsia="仿宋_GB2312" w:cs="仿宋_GB2312"/>
          <w:highlight w:val="yellow"/>
          <w:lang w:val="en-US"/>
        </w:rPr>
      </w:pPr>
      <w:r>
        <w:rPr>
          <w:rStyle w:val="34"/>
          <w:rFonts w:hint="eastAsia" w:ascii="楷体_GB2312" w:hAnsi="楷体_GB2312" w:eastAsia="楷体_GB2312" w:cs="楷体_GB2312"/>
        </w:rPr>
        <w:t>——</w:t>
      </w:r>
      <w:r>
        <w:rPr>
          <w:rStyle w:val="34"/>
          <w:rFonts w:hint="eastAsia" w:ascii="楷体_GB2312" w:hAnsi="楷体_GB2312" w:eastAsia="楷体_GB2312" w:cs="楷体_GB2312"/>
          <w:lang w:val="en-US"/>
        </w:rPr>
        <w:t>党的建设全面加强</w:t>
      </w:r>
      <w:r>
        <w:rPr>
          <w:rFonts w:hint="eastAsia" w:ascii="楷体_GB2312" w:hAnsi="楷体_GB2312" w:eastAsia="楷体_GB2312" w:cs="楷体_GB2312"/>
          <w:lang w:val="en-US"/>
        </w:rPr>
        <w:t>。</w:t>
      </w:r>
      <w:r>
        <w:rPr>
          <w:rFonts w:hint="eastAsia" w:ascii="仿宋_GB2312" w:hAnsi="仿宋_GB2312" w:eastAsia="仿宋_GB2312" w:cs="仿宋_GB2312"/>
          <w:lang w:val="en-US"/>
        </w:rPr>
        <w:t>深入开展“不忘初心、牢记使命”主题教育，扎实推进“干部队伍建设年、提升年、巩固年”活动，广大党员干部“四个意识”进一步提高，干事创业积极性稳步增强，党风、政风、社会风气实现良好提升。集中整顿软弱涣散基层党组织，积极开展“最强党支部”创建，基层党组织的凝聚力、战斗力、号召力进一步巩固。不断加强宣传思想工作，坚决守牢了意识形态主阵地。坚定不移推进党风廉政建设，始终保持反腐败高压态势，营造了风清气正的良好政治生态。持续深化民族宗教和统一战线工作，社会各民族团结稳定大局进一步坚定。</w:t>
      </w:r>
    </w:p>
    <w:p w14:paraId="175085AB">
      <w:pPr>
        <w:pStyle w:val="4"/>
        <w:spacing w:line="600" w:lineRule="exact"/>
        <w:rPr>
          <w:rFonts w:ascii="楷体_GB2312" w:hAnsi="楷体_GB2312" w:eastAsia="楷体_GB2312" w:cs="楷体_GB2312"/>
        </w:rPr>
      </w:pPr>
      <w:bookmarkStart w:id="68" w:name="_Toc30992"/>
      <w:bookmarkStart w:id="69" w:name="_Toc6574"/>
      <w:bookmarkStart w:id="70" w:name="_Toc382562477"/>
      <w:bookmarkStart w:id="71" w:name="_Toc8887"/>
      <w:bookmarkStart w:id="72" w:name="_Toc28512"/>
      <w:bookmarkStart w:id="73" w:name="_Toc4799"/>
      <w:r>
        <w:rPr>
          <w:rFonts w:hint="eastAsia" w:ascii="楷体_GB2312" w:hAnsi="楷体_GB2312" w:eastAsia="楷体_GB2312" w:cs="楷体_GB2312"/>
        </w:rPr>
        <w:t>第二节 主要问题</w:t>
      </w:r>
      <w:bookmarkEnd w:id="68"/>
      <w:bookmarkEnd w:id="69"/>
      <w:bookmarkEnd w:id="70"/>
      <w:bookmarkEnd w:id="71"/>
      <w:bookmarkEnd w:id="72"/>
      <w:bookmarkEnd w:id="73"/>
    </w:p>
    <w:p w14:paraId="06E82E20">
      <w:pPr>
        <w:spacing w:line="600" w:lineRule="exact"/>
        <w:ind w:firstLine="643"/>
        <w:rPr>
          <w:rFonts w:ascii="Times New Roman" w:hAnsi="Times New Roman" w:eastAsia="仿宋_GB2312" w:cs="Times New Roman"/>
          <w:szCs w:val="32"/>
        </w:rPr>
      </w:pPr>
      <w:bookmarkStart w:id="74" w:name="_Toc3870"/>
      <w:bookmarkStart w:id="75" w:name="_Toc18500"/>
      <w:bookmarkStart w:id="76" w:name="_Toc21116"/>
      <w:r>
        <w:rPr>
          <w:rStyle w:val="34"/>
          <w:rFonts w:hint="eastAsia" w:ascii="楷体_GB2312" w:hAnsi="楷体_GB2312" w:eastAsia="楷体_GB2312" w:cs="楷体_GB2312"/>
        </w:rPr>
        <w:t>——产业发展短板仍然突出</w:t>
      </w:r>
      <w:bookmarkEnd w:id="74"/>
      <w:bookmarkEnd w:id="75"/>
      <w:bookmarkEnd w:id="76"/>
      <w:r>
        <w:rPr>
          <w:rFonts w:hint="eastAsia" w:ascii="楷体_GB2312" w:hAnsi="楷体_GB2312" w:eastAsia="楷体_GB2312" w:cs="楷体_GB2312"/>
        </w:rPr>
        <w:t>。</w:t>
      </w:r>
      <w:r>
        <w:rPr>
          <w:rFonts w:hint="eastAsia" w:ascii="仿宋_GB2312" w:hAnsi="仿宋_GB2312" w:eastAsia="仿宋_GB2312" w:cs="仿宋_GB2312"/>
          <w:szCs w:val="32"/>
        </w:rPr>
        <w:t>农牧业</w:t>
      </w:r>
      <w:r>
        <w:rPr>
          <w:rFonts w:hint="eastAsia" w:ascii="仿宋_GB2312" w:hAnsi="仿宋_GB2312" w:eastAsia="仿宋_GB2312" w:cs="仿宋_GB2312"/>
          <w:szCs w:val="32"/>
          <w:lang w:val="en-US"/>
        </w:rPr>
        <w:t>产业</w:t>
      </w:r>
      <w:r>
        <w:rPr>
          <w:rFonts w:hint="eastAsia" w:ascii="仿宋_GB2312" w:hAnsi="仿宋_GB2312" w:eastAsia="仿宋_GB2312" w:cs="仿宋_GB2312"/>
          <w:szCs w:val="32"/>
        </w:rPr>
        <w:t>集约</w:t>
      </w:r>
      <w:r>
        <w:rPr>
          <w:rFonts w:hint="eastAsia" w:ascii="仿宋_GB2312" w:hAnsi="仿宋_GB2312" w:eastAsia="仿宋_GB2312" w:cs="仿宋_GB2312"/>
          <w:szCs w:val="32"/>
          <w:lang w:val="en-US"/>
        </w:rPr>
        <w:t>化</w:t>
      </w:r>
      <w:r>
        <w:rPr>
          <w:rFonts w:hint="eastAsia" w:ascii="仿宋_GB2312" w:hAnsi="仿宋_GB2312" w:eastAsia="仿宋_GB2312" w:cs="仿宋_GB2312"/>
          <w:szCs w:val="32"/>
        </w:rPr>
        <w:t>程度不</w:t>
      </w:r>
      <w:r>
        <w:rPr>
          <w:rFonts w:hint="eastAsia" w:ascii="仿宋_GB2312" w:hAnsi="仿宋_GB2312" w:eastAsia="仿宋_GB2312" w:cs="仿宋_GB2312"/>
          <w:szCs w:val="32"/>
          <w:lang w:val="en-US"/>
        </w:rPr>
        <w:t>高</w:t>
      </w:r>
      <w:r>
        <w:rPr>
          <w:rFonts w:hint="eastAsia" w:ascii="仿宋_GB2312" w:hAnsi="仿宋_GB2312" w:eastAsia="仿宋_GB2312" w:cs="仿宋_GB2312"/>
          <w:szCs w:val="32"/>
        </w:rPr>
        <w:t>、产品结构单一</w:t>
      </w:r>
      <w:r>
        <w:rPr>
          <w:rFonts w:hint="eastAsia" w:ascii="仿宋_GB2312" w:hAnsi="仿宋_GB2312" w:eastAsia="仿宋_GB2312" w:cs="仿宋_GB2312"/>
          <w:szCs w:val="32"/>
          <w:lang w:val="en-US"/>
        </w:rPr>
        <w:t>附加值低</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一</w:t>
      </w:r>
      <w:r>
        <w:rPr>
          <w:rFonts w:hint="eastAsia" w:ascii="仿宋_GB2312" w:hAnsi="仿宋_GB2312" w:eastAsia="仿宋_GB2312" w:cs="仿宋_GB2312"/>
          <w:szCs w:val="32"/>
        </w:rPr>
        <w:t>二三产业</w:t>
      </w:r>
      <w:r>
        <w:rPr>
          <w:rFonts w:hint="eastAsia" w:ascii="仿宋_GB2312" w:hAnsi="仿宋_GB2312" w:eastAsia="仿宋_GB2312" w:cs="仿宋_GB2312"/>
          <w:szCs w:val="32"/>
          <w:lang w:val="en-US"/>
        </w:rPr>
        <w:t>尚未形成有效</w:t>
      </w:r>
      <w:r>
        <w:rPr>
          <w:rFonts w:hint="eastAsia" w:ascii="仿宋_GB2312" w:hAnsi="仿宋_GB2312" w:eastAsia="仿宋_GB2312" w:cs="仿宋_GB2312"/>
          <w:szCs w:val="32"/>
        </w:rPr>
        <w:t>融合</w:t>
      </w:r>
      <w:r>
        <w:rPr>
          <w:rFonts w:hint="eastAsia" w:ascii="仿宋_GB2312" w:hAnsi="仿宋_GB2312" w:eastAsia="仿宋_GB2312" w:cs="仿宋_GB2312"/>
          <w:szCs w:val="32"/>
          <w:lang w:val="en-US"/>
        </w:rPr>
        <w:t>发展模式</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农村土地节约、集约、高效利用的格局仍需加强</w:t>
      </w:r>
      <w:r>
        <w:rPr>
          <w:rFonts w:hint="eastAsia" w:ascii="仿宋_GB2312" w:hAnsi="仿宋_GB2312" w:eastAsia="仿宋_GB2312" w:cs="仿宋_GB2312"/>
          <w:szCs w:val="32"/>
        </w:rPr>
        <w:t>。工业经济资源型产业占比较重，产业链条</w:t>
      </w:r>
      <w:r>
        <w:rPr>
          <w:rFonts w:hint="eastAsia" w:ascii="仿宋_GB2312" w:hAnsi="仿宋_GB2312" w:eastAsia="仿宋_GB2312" w:cs="仿宋_GB2312"/>
          <w:szCs w:val="32"/>
          <w:lang w:val="en-US"/>
        </w:rPr>
        <w:t>短</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产品附</w:t>
      </w:r>
      <w:r>
        <w:rPr>
          <w:rFonts w:hint="eastAsia" w:ascii="仿宋_GB2312" w:hAnsi="仿宋_GB2312" w:eastAsia="仿宋_GB2312" w:cs="仿宋_GB2312"/>
          <w:szCs w:val="32"/>
        </w:rPr>
        <w:t>加值</w:t>
      </w:r>
      <w:r>
        <w:rPr>
          <w:rFonts w:hint="eastAsia" w:ascii="仿宋_GB2312" w:hAnsi="仿宋_GB2312" w:eastAsia="仿宋_GB2312" w:cs="仿宋_GB2312"/>
          <w:szCs w:val="32"/>
          <w:lang w:val="en-US"/>
        </w:rPr>
        <w:t>低</w:t>
      </w:r>
      <w:r>
        <w:rPr>
          <w:rFonts w:hint="eastAsia" w:ascii="仿宋_GB2312" w:hAnsi="仿宋_GB2312" w:eastAsia="仿宋_GB2312" w:cs="仿宋_GB2312"/>
          <w:szCs w:val="32"/>
        </w:rPr>
        <w:t>，创新动力亟待提升。服务业发展层级与整体需求不匹配，全域旅游发展格局尚未形成，文旅融合组合效应尚未有效释放，商贸物流、信息咨询等产业滞后于农业、工业发展。</w:t>
      </w:r>
    </w:p>
    <w:p w14:paraId="34CACBDB">
      <w:pPr>
        <w:spacing w:line="600" w:lineRule="exact"/>
        <w:ind w:firstLine="643"/>
        <w:rPr>
          <w:rFonts w:ascii="Times New Roman" w:hAnsi="Times New Roman" w:eastAsia="仿宋_GB2312" w:cs="Times New Roman"/>
          <w:szCs w:val="32"/>
        </w:rPr>
      </w:pPr>
      <w:bookmarkStart w:id="77" w:name="_Toc14129"/>
      <w:bookmarkStart w:id="78" w:name="_Toc417"/>
      <w:bookmarkStart w:id="79" w:name="_Toc29311"/>
      <w:r>
        <w:rPr>
          <w:rStyle w:val="34"/>
          <w:rFonts w:hint="eastAsia" w:ascii="楷体_GB2312" w:hAnsi="楷体_GB2312" w:eastAsia="楷体_GB2312" w:cs="楷体_GB2312"/>
        </w:rPr>
        <w:t>——人才科技力量较为薄弱</w:t>
      </w:r>
      <w:bookmarkEnd w:id="77"/>
      <w:bookmarkEnd w:id="78"/>
      <w:bookmarkEnd w:id="79"/>
      <w:r>
        <w:rPr>
          <w:rFonts w:hint="eastAsia" w:ascii="楷体_GB2312" w:hAnsi="楷体_GB2312" w:eastAsia="楷体_GB2312" w:cs="楷体_GB2312"/>
        </w:rPr>
        <w:t>。</w:t>
      </w:r>
      <w:r>
        <w:rPr>
          <w:rFonts w:hint="eastAsia" w:ascii="仿宋_GB2312" w:hAnsi="仿宋_GB2312" w:eastAsia="仿宋_GB2312" w:cs="仿宋_GB2312"/>
          <w:szCs w:val="32"/>
        </w:rPr>
        <w:t>旗域人才、科技资源力量薄弱，适应经济社会发展的开发型、高技能型和服务型人才较少，高素质高标准的人才队伍还未形成规模。人才忧患意识和危机意识不够强烈，人才队伍建设缺少有效的长远规划，对优秀人才干事创业的环境还不够宽松。企业技术、管理、运营人才重视不够，科技领域关键技术、前沿技术科研人才引进不足，旅游、商贸领域运营管理的创意人才、跨界思维的策划人才储备不多，人才引进、使用、考评激励和流动机制有待提高。</w:t>
      </w:r>
    </w:p>
    <w:p w14:paraId="1EE2D72D">
      <w:pPr>
        <w:spacing w:line="600" w:lineRule="exact"/>
        <w:ind w:firstLine="643"/>
        <w:rPr>
          <w:rFonts w:ascii="Times New Roman" w:hAnsi="Times New Roman" w:cs="Times New Roman"/>
        </w:rPr>
      </w:pPr>
      <w:bookmarkStart w:id="80" w:name="_Toc10999"/>
      <w:bookmarkStart w:id="81" w:name="_Toc21051"/>
      <w:bookmarkStart w:id="82" w:name="_Toc5961"/>
      <w:bookmarkStart w:id="83" w:name="_Toc59098741"/>
      <w:r>
        <w:rPr>
          <w:rStyle w:val="34"/>
          <w:rFonts w:hint="eastAsia" w:ascii="楷体_GB2312" w:hAnsi="楷体_GB2312" w:eastAsia="楷体_GB2312" w:cs="楷体_GB2312"/>
        </w:rPr>
        <w:t>——基础设施建设亟待加强</w:t>
      </w:r>
      <w:bookmarkEnd w:id="80"/>
      <w:bookmarkEnd w:id="81"/>
      <w:bookmarkEnd w:id="82"/>
      <w:bookmarkEnd w:id="83"/>
      <w:r>
        <w:rPr>
          <w:rFonts w:hint="eastAsia" w:ascii="楷体_GB2312" w:hAnsi="楷体_GB2312" w:eastAsia="楷体_GB2312" w:cs="楷体_GB2312"/>
          <w:b/>
          <w:bCs/>
        </w:rPr>
        <w:t>。</w:t>
      </w:r>
      <w:r>
        <w:rPr>
          <w:rFonts w:ascii="Times New Roman" w:hAnsi="Times New Roman" w:eastAsia="仿宋_GB2312" w:cs="Times New Roman"/>
          <w:szCs w:val="32"/>
        </w:rPr>
        <w:t>市政基础设施建设欠账较多，公共设施配套、旧城改造、平房区改造任务艰巨，城市风貌整体效果有待加强提升。小城镇建设滞后，缺少有影响力、有吸引力的中心</w:t>
      </w:r>
      <w:r>
        <w:rPr>
          <w:rFonts w:hint="eastAsia" w:ascii="Times New Roman" w:hAnsi="Times New Roman" w:eastAsia="仿宋_GB2312" w:cs="Times New Roman"/>
          <w:szCs w:val="32"/>
        </w:rPr>
        <w:t>集镇</w:t>
      </w:r>
      <w:r>
        <w:rPr>
          <w:rFonts w:ascii="Times New Roman" w:hAnsi="Times New Roman" w:eastAsia="仿宋_GB2312" w:cs="Times New Roman"/>
          <w:szCs w:val="32"/>
        </w:rPr>
        <w:t>，承载全旗新型城镇化发展需求。公路建设标准低，运输能力差，旗域公交系统落后，铁路物流体系尤其是短途集疏运系统配套不完善，客货运外联通道不畅，交通便捷度不高。电力规划有待强化，电源送出受到制约，配电网改造工程需进一步提升。</w:t>
      </w:r>
    </w:p>
    <w:p w14:paraId="403BE1D7">
      <w:pPr>
        <w:spacing w:line="600" w:lineRule="exact"/>
        <w:ind w:firstLine="643"/>
        <w:rPr>
          <w:rFonts w:ascii="Times New Roman" w:hAnsi="Times New Roman" w:cs="Times New Roman"/>
        </w:rPr>
      </w:pPr>
      <w:bookmarkStart w:id="84" w:name="_Toc25426"/>
      <w:bookmarkStart w:id="85" w:name="_Toc22172"/>
      <w:bookmarkStart w:id="86" w:name="_Toc17555"/>
      <w:r>
        <w:rPr>
          <w:rStyle w:val="34"/>
          <w:rFonts w:hint="eastAsia" w:ascii="楷体_GB2312" w:hAnsi="楷体_GB2312" w:eastAsia="楷体_GB2312" w:cs="楷体_GB2312"/>
        </w:rPr>
        <w:t>——生态环境依然脆弱。</w:t>
      </w:r>
      <w:bookmarkEnd w:id="84"/>
      <w:bookmarkEnd w:id="85"/>
      <w:bookmarkEnd w:id="86"/>
      <w:r>
        <w:rPr>
          <w:rFonts w:ascii="Times New Roman" w:hAnsi="Times New Roman" w:eastAsia="仿宋_GB2312" w:cs="Times New Roman"/>
          <w:szCs w:val="32"/>
        </w:rPr>
        <w:t>大气、水、土壤污染治理任务依然艰巨，盐碱地治理、湿地保护、草牧场修复等生态难题亟待解决，矿区环境、城乡环境综合治理难度较大。煤化工废水、煤矿疏干水处理存在隐患，煤矸石、粉煤灰等工业固废综合利用能力有限，绿色发展方式和生活方式尚未形成，产业偏重资源消耗、交通运输偏重公路的格局没有根本改变，资源环境承载压力大。</w:t>
      </w:r>
    </w:p>
    <w:p w14:paraId="5AAD8186">
      <w:pPr>
        <w:spacing w:line="600" w:lineRule="exact"/>
        <w:ind w:firstLine="643"/>
      </w:pPr>
      <w:bookmarkStart w:id="87" w:name="_Toc18708"/>
      <w:bookmarkStart w:id="88" w:name="_Toc8568"/>
      <w:bookmarkStart w:id="89" w:name="_Toc23340"/>
      <w:r>
        <w:rPr>
          <w:rStyle w:val="34"/>
          <w:rFonts w:hint="eastAsia" w:ascii="楷体_GB2312" w:hAnsi="楷体_GB2312" w:eastAsia="楷体_GB2312" w:cs="楷体_GB2312"/>
        </w:rPr>
        <w:t>——民生保障有待提高。</w:t>
      </w:r>
      <w:bookmarkEnd w:id="87"/>
      <w:bookmarkEnd w:id="88"/>
      <w:bookmarkEnd w:id="89"/>
      <w:r>
        <w:rPr>
          <w:rFonts w:ascii="Times New Roman" w:hAnsi="Times New Roman" w:eastAsia="仿宋_GB2312" w:cs="Times New Roman"/>
          <w:szCs w:val="32"/>
        </w:rPr>
        <w:t>基础教育均衡化发展有待加强，职业教育建设水平尚未能满足社会发展需求，特殊教育发展速度还需加快。医疗资源分布不均衡，医护人才培训制度和体系还需完善，职业技能、服务水平亟待加强。养老托幼体系尚未形成规模，社区养老模式还需要进一步完善和探索。特色体育和文化事业基础较好，但推广和升级力度不足。优质公共文化产品和服务还不丰富，基层文化队伍还需加强。</w:t>
      </w:r>
    </w:p>
    <w:p w14:paraId="1583DAF4">
      <w:pPr>
        <w:pStyle w:val="3"/>
        <w:spacing w:line="600" w:lineRule="exact"/>
        <w:rPr>
          <w:rFonts w:ascii="Times New Roman" w:hAnsi="Times New Roman" w:cs="Times New Roman"/>
          <w:bCs w:val="0"/>
          <w:szCs w:val="32"/>
          <w:shd w:val="clear" w:color="auto" w:fill="FFFFFF"/>
          <w:lang w:val="en-US"/>
        </w:rPr>
      </w:pPr>
      <w:bookmarkStart w:id="90" w:name="_Toc2897"/>
      <w:bookmarkStart w:id="91" w:name="_Toc161511821"/>
      <w:bookmarkStart w:id="92" w:name="_Toc28886"/>
      <w:bookmarkStart w:id="93" w:name="_Toc2741"/>
      <w:bookmarkStart w:id="94" w:name="_Toc25364"/>
      <w:bookmarkStart w:id="95" w:name="_Toc20743"/>
      <w:r>
        <w:rPr>
          <w:rFonts w:ascii="Times New Roman" w:hAnsi="Times New Roman" w:cs="Times New Roman"/>
          <w:bCs w:val="0"/>
          <w:szCs w:val="32"/>
          <w:shd w:val="clear" w:color="auto" w:fill="FFFFFF"/>
          <w:lang w:val="en-US"/>
        </w:rPr>
        <w:t>第二章</w:t>
      </w:r>
      <w:bookmarkEnd w:id="27"/>
      <w:r>
        <w:rPr>
          <w:rFonts w:ascii="Times New Roman" w:hAnsi="Times New Roman" w:cs="Times New Roman"/>
          <w:bCs w:val="0"/>
          <w:szCs w:val="32"/>
          <w:shd w:val="clear" w:color="auto" w:fill="FFFFFF"/>
          <w:lang w:val="en-US"/>
        </w:rPr>
        <w:t>“十四五”发展环境</w:t>
      </w:r>
      <w:bookmarkEnd w:id="90"/>
      <w:bookmarkEnd w:id="91"/>
      <w:bookmarkEnd w:id="92"/>
      <w:bookmarkEnd w:id="93"/>
      <w:bookmarkEnd w:id="94"/>
      <w:bookmarkEnd w:id="95"/>
      <w:bookmarkStart w:id="96" w:name="第二章_“十四五”发展环境"/>
      <w:bookmarkEnd w:id="96"/>
      <w:bookmarkStart w:id="97" w:name="_bookmark18"/>
      <w:bookmarkEnd w:id="97"/>
      <w:bookmarkStart w:id="98" w:name="（一）双循环战略为旗域经济发展增添新机遇"/>
      <w:bookmarkEnd w:id="98"/>
      <w:bookmarkStart w:id="99" w:name="（二）国家黄河发展战略重要性日益凸显"/>
      <w:bookmarkEnd w:id="99"/>
      <w:bookmarkStart w:id="100" w:name="_bookmark16"/>
      <w:bookmarkEnd w:id="100"/>
    </w:p>
    <w:p w14:paraId="280DCFBF">
      <w:pPr>
        <w:pStyle w:val="4"/>
        <w:spacing w:line="600" w:lineRule="exact"/>
        <w:rPr>
          <w:rFonts w:ascii="楷体_GB2312" w:hAnsi="楷体_GB2312" w:eastAsia="楷体_GB2312" w:cs="楷体_GB2312"/>
        </w:rPr>
      </w:pPr>
      <w:bookmarkStart w:id="101" w:name="_Toc1181"/>
      <w:bookmarkStart w:id="102" w:name="_Toc27269"/>
      <w:bookmarkStart w:id="103" w:name="_Toc29970"/>
      <w:bookmarkStart w:id="104" w:name="_Toc109845739"/>
      <w:bookmarkStart w:id="105" w:name="_Toc7294"/>
      <w:bookmarkStart w:id="106" w:name="_Toc28489"/>
      <w:r>
        <w:rPr>
          <w:rFonts w:hint="eastAsia" w:ascii="楷体_GB2312" w:hAnsi="楷体_GB2312" w:eastAsia="楷体_GB2312" w:cs="楷体_GB2312"/>
        </w:rPr>
        <w:t>第一节 发展机遇</w:t>
      </w:r>
      <w:bookmarkEnd w:id="101"/>
      <w:bookmarkEnd w:id="102"/>
      <w:bookmarkEnd w:id="103"/>
      <w:bookmarkEnd w:id="104"/>
      <w:bookmarkEnd w:id="105"/>
      <w:bookmarkEnd w:id="106"/>
      <w:bookmarkStart w:id="107" w:name="_Toc59098746"/>
      <w:bookmarkStart w:id="108" w:name="_Toc59098747"/>
    </w:p>
    <w:p w14:paraId="1C000ED7">
      <w:pPr>
        <w:spacing w:line="600" w:lineRule="exact"/>
        <w:ind w:firstLine="643"/>
        <w:rPr>
          <w:rFonts w:ascii="Times New Roman" w:hAnsi="Times New Roman" w:eastAsia="仿宋_GB2312" w:cs="Times New Roman"/>
          <w:szCs w:val="32"/>
        </w:rPr>
      </w:pPr>
      <w:bookmarkStart w:id="109" w:name="_Toc25880"/>
      <w:bookmarkStart w:id="110" w:name="_Toc5858"/>
      <w:bookmarkStart w:id="111" w:name="_Toc21498"/>
      <w:r>
        <w:rPr>
          <w:rStyle w:val="34"/>
          <w:rFonts w:hint="eastAsia" w:ascii="楷体_GB2312" w:hAnsi="楷体_GB2312" w:eastAsia="楷体_GB2312" w:cs="楷体_GB2312"/>
        </w:rPr>
        <w:t>——双循环战</w:t>
      </w:r>
      <w:bookmarkEnd w:id="107"/>
      <w:r>
        <w:rPr>
          <w:rStyle w:val="34"/>
          <w:rFonts w:hint="eastAsia" w:ascii="楷体_GB2312" w:hAnsi="楷体_GB2312" w:eastAsia="楷体_GB2312" w:cs="楷体_GB2312"/>
          <w:lang w:val="en-US"/>
        </w:rPr>
        <w:t>略助推</w:t>
      </w:r>
      <w:r>
        <w:rPr>
          <w:rStyle w:val="34"/>
          <w:rFonts w:hint="eastAsia" w:ascii="楷体_GB2312" w:hAnsi="楷体_GB2312" w:eastAsia="楷体_GB2312" w:cs="楷体_GB2312"/>
        </w:rPr>
        <w:t>旗域经济</w:t>
      </w:r>
      <w:r>
        <w:rPr>
          <w:rStyle w:val="34"/>
          <w:rFonts w:hint="eastAsia" w:ascii="楷体_GB2312" w:hAnsi="楷体_GB2312" w:eastAsia="楷体_GB2312" w:cs="楷体_GB2312"/>
          <w:lang w:val="en-US"/>
        </w:rPr>
        <w:t>全面</w:t>
      </w:r>
      <w:r>
        <w:rPr>
          <w:rStyle w:val="34"/>
          <w:rFonts w:hint="eastAsia" w:ascii="楷体_GB2312" w:hAnsi="楷体_GB2312" w:eastAsia="楷体_GB2312" w:cs="楷体_GB2312"/>
        </w:rPr>
        <w:t>发展</w:t>
      </w:r>
      <w:bookmarkEnd w:id="109"/>
      <w:bookmarkEnd w:id="110"/>
      <w:bookmarkEnd w:id="111"/>
      <w:r>
        <w:rPr>
          <w:rFonts w:hint="eastAsia" w:ascii="楷体_GB2312" w:hAnsi="楷体_GB2312" w:eastAsia="楷体_GB2312" w:cs="楷体_GB2312"/>
        </w:rPr>
        <w:t>。</w:t>
      </w:r>
      <w:r>
        <w:rPr>
          <w:rFonts w:ascii="Times New Roman" w:hAnsi="Times New Roman" w:eastAsia="仿宋_GB2312" w:cs="Times New Roman"/>
          <w:szCs w:val="32"/>
        </w:rPr>
        <w:t>双循环战略将推动形成</w:t>
      </w:r>
      <w:r>
        <w:rPr>
          <w:rFonts w:ascii="Times New Roman" w:hAnsi="Times New Roman" w:eastAsia="仿宋_GB2312" w:cs="Times New Roman"/>
          <w:szCs w:val="32"/>
          <w:lang w:val="en-US"/>
        </w:rPr>
        <w:t>强有力的</w:t>
      </w:r>
      <w:r>
        <w:rPr>
          <w:rFonts w:ascii="Times New Roman" w:hAnsi="Times New Roman" w:eastAsia="仿宋_GB2312" w:cs="Times New Roman"/>
          <w:szCs w:val="32"/>
        </w:rPr>
        <w:t>国内供应链，牢牢把握国家扩大内需这一战略基点，有利于我旗对接京津冀大都市圈科技、信息、资金、人才资源要素，构建创新网络体系，形成区域间循环；有助于我旗深度融入呼包鄂城市群，形成高质量协作体系；有助于推动消费结构、质量和模式升级，带动形成新的经济增长点，稳定社会就业，提高居民收入。</w:t>
      </w:r>
    </w:p>
    <w:p w14:paraId="1CF5A448">
      <w:pPr>
        <w:spacing w:line="600" w:lineRule="exact"/>
        <w:ind w:firstLine="643"/>
        <w:rPr>
          <w:rFonts w:ascii="仿宋_GB2312" w:hAnsi="仿宋_GB2312" w:eastAsia="仿宋_GB2312" w:cs="仿宋_GB2312"/>
        </w:rPr>
      </w:pPr>
      <w:bookmarkStart w:id="112" w:name="_Toc19325"/>
      <w:bookmarkStart w:id="113" w:name="_Toc10536"/>
      <w:bookmarkStart w:id="114" w:name="_Toc21720"/>
      <w:r>
        <w:rPr>
          <w:rStyle w:val="34"/>
          <w:rFonts w:hint="eastAsia" w:ascii="楷体_GB2312" w:hAnsi="楷体_GB2312" w:eastAsia="楷体_GB2312" w:cs="楷体_GB2312"/>
        </w:rPr>
        <w:t>——黄河战略</w:t>
      </w:r>
      <w:r>
        <w:rPr>
          <w:rStyle w:val="34"/>
          <w:rFonts w:hint="eastAsia" w:ascii="楷体_GB2312" w:hAnsi="楷体_GB2312" w:eastAsia="楷体_GB2312" w:cs="楷体_GB2312"/>
          <w:lang w:val="en-US"/>
        </w:rPr>
        <w:t>助推转型升级绿色崛起</w:t>
      </w:r>
      <w:bookmarkEnd w:id="112"/>
      <w:bookmarkEnd w:id="113"/>
      <w:bookmarkEnd w:id="114"/>
      <w:r>
        <w:rPr>
          <w:rFonts w:hint="eastAsia" w:ascii="楷体_GB2312" w:hAnsi="楷体_GB2312" w:eastAsia="楷体_GB2312" w:cs="楷体_GB2312"/>
        </w:rPr>
        <w:t>。</w:t>
      </w:r>
      <w:r>
        <w:rPr>
          <w:rFonts w:hint="eastAsia" w:ascii="仿宋_GB2312" w:hAnsi="仿宋_GB2312" w:eastAsia="仿宋_GB2312" w:cs="仿宋_GB2312"/>
          <w:szCs w:val="32"/>
        </w:rPr>
        <w:t>我旗位于“黄河几字弯”顶部，</w:t>
      </w:r>
      <w:r>
        <w:rPr>
          <w:rFonts w:hint="eastAsia" w:ascii="仿宋_GB2312" w:hAnsi="仿宋_GB2312" w:eastAsia="仿宋_GB2312" w:cs="仿宋_GB2312"/>
          <w:szCs w:val="32"/>
          <w:lang w:val="en-US"/>
        </w:rPr>
        <w:t>区域</w:t>
      </w:r>
      <w:r>
        <w:rPr>
          <w:rFonts w:hint="eastAsia" w:ascii="仿宋_GB2312" w:hAnsi="仿宋_GB2312" w:eastAsia="仿宋_GB2312" w:cs="仿宋_GB2312"/>
          <w:szCs w:val="32"/>
        </w:rPr>
        <w:t>位置</w:t>
      </w:r>
      <w:r>
        <w:rPr>
          <w:rFonts w:hint="eastAsia" w:ascii="仿宋_GB2312" w:hAnsi="仿宋_GB2312" w:eastAsia="仿宋_GB2312" w:cs="仿宋_GB2312"/>
          <w:szCs w:val="32"/>
          <w:lang w:val="en-US"/>
        </w:rPr>
        <w:t>优越</w:t>
      </w:r>
      <w:r>
        <w:rPr>
          <w:rFonts w:hint="eastAsia" w:ascii="仿宋_GB2312" w:hAnsi="仿宋_GB2312" w:eastAsia="仿宋_GB2312" w:cs="仿宋_GB2312"/>
          <w:szCs w:val="32"/>
        </w:rPr>
        <w:t>，但生态系统脆弱，面临土壤荒漠化、盐碱化等问题。国家和自治区配套政策为我旗推进生态保护与修复提供了政策支持和操作指引，也为我旗提升生态建设产业化水平，加快绿色新型产业发展，形成绿色产业发展链，推动经济、社会、生态均衡发展带来新机遇。</w:t>
      </w:r>
    </w:p>
    <w:p w14:paraId="1A5707C4">
      <w:pPr>
        <w:spacing w:line="600" w:lineRule="exact"/>
        <w:ind w:firstLine="643"/>
        <w:rPr>
          <w:rFonts w:ascii="仿宋_GB2312" w:hAnsi="仿宋_GB2312" w:eastAsia="仿宋_GB2312" w:cs="仿宋_GB2312"/>
          <w:szCs w:val="32"/>
        </w:rPr>
      </w:pPr>
      <w:bookmarkStart w:id="115" w:name="_Toc21537"/>
      <w:bookmarkStart w:id="116" w:name="_Toc19953"/>
      <w:bookmarkStart w:id="117" w:name="_Toc21198"/>
      <w:r>
        <w:rPr>
          <w:rStyle w:val="34"/>
          <w:rFonts w:hint="eastAsia" w:ascii="楷体_GB2312" w:hAnsi="楷体_GB2312" w:eastAsia="楷体_GB2312" w:cs="楷体_GB2312"/>
        </w:rPr>
        <w:t>——新一轮科技革命</w:t>
      </w:r>
      <w:r>
        <w:rPr>
          <w:rStyle w:val="34"/>
          <w:rFonts w:hint="eastAsia" w:ascii="楷体_GB2312" w:hAnsi="楷体_GB2312" w:eastAsia="楷体_GB2312" w:cs="楷体_GB2312"/>
          <w:lang w:val="en-US"/>
        </w:rPr>
        <w:t>推动创新引领快速集聚</w:t>
      </w:r>
      <w:bookmarkEnd w:id="115"/>
      <w:bookmarkEnd w:id="116"/>
      <w:bookmarkEnd w:id="117"/>
      <w:r>
        <w:rPr>
          <w:rFonts w:hint="eastAsia" w:ascii="楷体_GB2312" w:hAnsi="楷体_GB2312" w:eastAsia="楷体_GB2312" w:cs="楷体_GB2312"/>
        </w:rPr>
        <w:t>。</w:t>
      </w:r>
      <w:r>
        <w:rPr>
          <w:rFonts w:hint="eastAsia" w:ascii="仿宋_GB2312" w:hAnsi="仿宋_GB2312" w:eastAsia="仿宋_GB2312" w:cs="仿宋_GB2312"/>
          <w:szCs w:val="32"/>
        </w:rPr>
        <w:t>以人工智能（AI）为代表的第四轮工业革命兴起，信息技术、生物技术、新能源、新材料等高科技产业蓬勃发展，推动了资本市场改革，降低了科创类企业的融资门槛，为我旗加强高新技术推广应用、拓展高科技产业发展空间提供了源动力。鄂尔多斯申报国家可持续发展创新示范区、呼包鄂携手申报国家自主创新示范区，为我旗争取国家创新政策落地、创建国家创新试点样板提供了有利契机。</w:t>
      </w:r>
    </w:p>
    <w:p w14:paraId="79FBA215">
      <w:pPr>
        <w:spacing w:line="600" w:lineRule="exact"/>
        <w:ind w:firstLine="643"/>
        <w:rPr>
          <w:rFonts w:ascii="仿宋_GB2312" w:hAnsi="仿宋_GB2312" w:eastAsia="仿宋_GB2312" w:cs="仿宋_GB2312"/>
        </w:rPr>
      </w:pPr>
      <w:bookmarkStart w:id="118" w:name="_Toc12006"/>
      <w:bookmarkStart w:id="119" w:name="_Toc20845"/>
      <w:bookmarkStart w:id="120" w:name="_Toc10169"/>
      <w:r>
        <w:rPr>
          <w:rStyle w:val="34"/>
          <w:rFonts w:hint="eastAsia" w:ascii="楷体_GB2312" w:hAnsi="楷体_GB2312" w:eastAsia="楷体_GB2312" w:cs="楷体_GB2312"/>
        </w:rPr>
        <w:t>——能源</w:t>
      </w:r>
      <w:r>
        <w:rPr>
          <w:rStyle w:val="34"/>
          <w:rFonts w:hint="eastAsia" w:ascii="楷体_GB2312" w:hAnsi="楷体_GB2312" w:eastAsia="楷体_GB2312" w:cs="楷体_GB2312"/>
          <w:lang w:val="en-US"/>
        </w:rPr>
        <w:t>行业变革</w:t>
      </w:r>
      <w:r>
        <w:rPr>
          <w:rStyle w:val="34"/>
          <w:rFonts w:hint="eastAsia" w:ascii="楷体_GB2312" w:hAnsi="楷体_GB2312" w:eastAsia="楷体_GB2312" w:cs="楷体_GB2312"/>
        </w:rPr>
        <w:t>促进</w:t>
      </w:r>
      <w:r>
        <w:rPr>
          <w:rStyle w:val="34"/>
          <w:rFonts w:hint="eastAsia" w:ascii="楷体_GB2312" w:hAnsi="楷体_GB2312" w:eastAsia="楷体_GB2312" w:cs="楷体_GB2312"/>
          <w:lang w:val="en-US"/>
        </w:rPr>
        <w:t>基础</w:t>
      </w:r>
      <w:r>
        <w:rPr>
          <w:rStyle w:val="34"/>
          <w:rFonts w:hint="eastAsia" w:ascii="楷体_GB2312" w:hAnsi="楷体_GB2312" w:eastAsia="楷体_GB2312" w:cs="楷体_GB2312"/>
        </w:rPr>
        <w:t>产业</w:t>
      </w:r>
      <w:r>
        <w:rPr>
          <w:rStyle w:val="34"/>
          <w:rFonts w:hint="eastAsia" w:ascii="楷体_GB2312" w:hAnsi="楷体_GB2312" w:eastAsia="楷体_GB2312" w:cs="楷体_GB2312"/>
          <w:lang w:val="en-US"/>
        </w:rPr>
        <w:t>扩容提质</w:t>
      </w:r>
      <w:bookmarkEnd w:id="118"/>
      <w:bookmarkEnd w:id="119"/>
      <w:bookmarkEnd w:id="120"/>
      <w:r>
        <w:rPr>
          <w:rFonts w:hint="eastAsia" w:ascii="楷体_GB2312" w:hAnsi="楷体_GB2312" w:eastAsia="楷体_GB2312" w:cs="楷体_GB2312"/>
          <w:b/>
          <w:bCs/>
        </w:rPr>
        <w:t>。</w:t>
      </w:r>
      <w:r>
        <w:rPr>
          <w:rFonts w:hint="eastAsia" w:ascii="仿宋_GB2312" w:hAnsi="仿宋_GB2312" w:eastAsia="仿宋_GB2312" w:cs="仿宋_GB2312"/>
          <w:szCs w:val="32"/>
        </w:rPr>
        <w:t>高技术能源产业、高附加值能源化工、能源结构多元化等发展，</w:t>
      </w:r>
      <w:r>
        <w:rPr>
          <w:rFonts w:hint="eastAsia" w:ascii="仿宋_GB2312" w:hAnsi="仿宋_GB2312" w:eastAsia="仿宋_GB2312" w:cs="仿宋_GB2312"/>
          <w:szCs w:val="32"/>
          <w:lang w:val="en-US"/>
        </w:rPr>
        <w:t>以及储能技术推广普及、智慧电网建设发展等，</w:t>
      </w:r>
      <w:r>
        <w:rPr>
          <w:rFonts w:hint="eastAsia" w:ascii="仿宋_GB2312" w:hAnsi="仿宋_GB2312" w:eastAsia="仿宋_GB2312" w:cs="仿宋_GB2312"/>
          <w:szCs w:val="32"/>
        </w:rPr>
        <w:t>有利于我旗</w:t>
      </w:r>
      <w:r>
        <w:rPr>
          <w:rFonts w:hint="eastAsia" w:ascii="仿宋_GB2312" w:hAnsi="仿宋_GB2312" w:eastAsia="仿宋_GB2312" w:cs="仿宋_GB2312"/>
          <w:szCs w:val="32"/>
          <w:lang w:val="en-US"/>
        </w:rPr>
        <w:t>推动</w:t>
      </w:r>
      <w:r>
        <w:rPr>
          <w:rFonts w:hint="eastAsia" w:ascii="仿宋_GB2312" w:hAnsi="仿宋_GB2312" w:eastAsia="仿宋_GB2312" w:cs="仿宋_GB2312"/>
          <w:szCs w:val="32"/>
        </w:rPr>
        <w:t>煤化工、清洁能源化工、</w:t>
      </w:r>
      <w:r>
        <w:rPr>
          <w:rFonts w:hint="eastAsia" w:ascii="仿宋_GB2312" w:hAnsi="仿宋_GB2312" w:eastAsia="仿宋_GB2312" w:cs="仿宋_GB2312"/>
          <w:szCs w:val="32"/>
          <w:lang w:val="en-US"/>
        </w:rPr>
        <w:t>氯碱化工、冶金</w:t>
      </w:r>
      <w:r>
        <w:rPr>
          <w:rFonts w:hint="eastAsia" w:ascii="仿宋_GB2312" w:hAnsi="仿宋_GB2312" w:eastAsia="仿宋_GB2312" w:cs="仿宋_GB2312"/>
          <w:szCs w:val="32"/>
        </w:rPr>
        <w:t>等向高端化、精细化方向发展，</w:t>
      </w:r>
      <w:r>
        <w:rPr>
          <w:rFonts w:hint="eastAsia" w:ascii="仿宋_GB2312" w:hAnsi="仿宋_GB2312" w:eastAsia="仿宋_GB2312" w:cs="仿宋_GB2312"/>
          <w:szCs w:val="32"/>
          <w:lang w:val="en-US"/>
        </w:rPr>
        <w:t>有利于形成“风光火储氢”多能互补、“源网荷储”一体化推进的新能源产业发展格局</w:t>
      </w:r>
      <w:r>
        <w:rPr>
          <w:rFonts w:hint="eastAsia" w:ascii="仿宋_GB2312" w:hAnsi="仿宋_GB2312" w:eastAsia="仿宋_GB2312" w:cs="仿宋_GB2312"/>
          <w:szCs w:val="32"/>
        </w:rPr>
        <w:t>。</w:t>
      </w:r>
      <w:bookmarkStart w:id="121" w:name="_Toc2075930815"/>
      <w:bookmarkStart w:id="122" w:name="_Toc779529341"/>
      <w:bookmarkStart w:id="123" w:name="_Toc1826196935_WPSOffice_Level3"/>
      <w:bookmarkStart w:id="124" w:name="_Toc1941697471"/>
      <w:bookmarkStart w:id="125" w:name="_Toc340661665"/>
    </w:p>
    <w:p w14:paraId="66D0E87A">
      <w:pPr>
        <w:spacing w:line="600" w:lineRule="exact"/>
        <w:ind w:firstLine="643"/>
        <w:rPr>
          <w:rFonts w:ascii="仿宋_GB2312" w:hAnsi="仿宋_GB2312" w:eastAsia="仿宋_GB2312" w:cs="仿宋_GB2312"/>
          <w:szCs w:val="32"/>
        </w:rPr>
      </w:pPr>
      <w:bookmarkStart w:id="126" w:name="_Toc20898"/>
      <w:bookmarkStart w:id="127" w:name="_Toc28971"/>
      <w:bookmarkStart w:id="128" w:name="_Toc29650"/>
      <w:r>
        <w:rPr>
          <w:rStyle w:val="34"/>
          <w:rFonts w:hint="eastAsia" w:ascii="楷体_GB2312" w:hAnsi="楷体_GB2312" w:eastAsia="楷体_GB2312" w:cs="楷体_GB2312"/>
          <w:lang w:val="en-US"/>
        </w:rPr>
        <w:t>——乡村振兴助推</w:t>
      </w:r>
      <w:bookmarkEnd w:id="121"/>
      <w:bookmarkEnd w:id="122"/>
      <w:bookmarkEnd w:id="123"/>
      <w:bookmarkEnd w:id="124"/>
      <w:bookmarkEnd w:id="125"/>
      <w:r>
        <w:rPr>
          <w:rStyle w:val="34"/>
          <w:rFonts w:hint="eastAsia" w:ascii="楷体_GB2312" w:hAnsi="楷体_GB2312" w:eastAsia="楷体_GB2312" w:cs="楷体_GB2312"/>
          <w:lang w:val="en-US"/>
        </w:rPr>
        <w:t>农业农村加速发展</w:t>
      </w:r>
      <w:bookmarkEnd w:id="126"/>
      <w:bookmarkEnd w:id="127"/>
      <w:bookmarkEnd w:id="128"/>
      <w:r>
        <w:rPr>
          <w:rFonts w:hint="eastAsia" w:ascii="楷体_GB2312" w:hAnsi="楷体_GB2312" w:eastAsia="楷体_GB2312" w:cs="楷体_GB2312"/>
          <w:lang w:val="en-US"/>
        </w:rPr>
        <w:t>。</w:t>
      </w:r>
      <w:r>
        <w:rPr>
          <w:rFonts w:hint="eastAsia" w:ascii="仿宋_GB2312" w:hAnsi="仿宋_GB2312" w:eastAsia="仿宋_GB2312" w:cs="仿宋_GB2312"/>
          <w:szCs w:val="32"/>
          <w:lang w:val="en-US"/>
        </w:rPr>
        <w:t>我</w:t>
      </w:r>
      <w:r>
        <w:rPr>
          <w:rFonts w:hint="eastAsia" w:ascii="仿宋_GB2312" w:hAnsi="仿宋_GB2312" w:eastAsia="仿宋_GB2312" w:cs="仿宋_GB2312"/>
          <w:szCs w:val="32"/>
        </w:rPr>
        <w:t>旗是</w:t>
      </w:r>
      <w:r>
        <w:rPr>
          <w:rFonts w:hint="eastAsia" w:ascii="仿宋_GB2312" w:hAnsi="仿宋_GB2312" w:eastAsia="仿宋_GB2312" w:cs="仿宋_GB2312"/>
          <w:szCs w:val="32"/>
          <w:lang w:val="en-US"/>
        </w:rPr>
        <w:t>全市、全</w:t>
      </w:r>
      <w:r>
        <w:rPr>
          <w:rFonts w:hint="eastAsia" w:ascii="仿宋_GB2312" w:hAnsi="仿宋_GB2312" w:eastAsia="仿宋_GB2312" w:cs="仿宋_GB2312"/>
          <w:szCs w:val="32"/>
        </w:rPr>
        <w:t>区重要的农牧业</w:t>
      </w:r>
      <w:r>
        <w:rPr>
          <w:rFonts w:hint="eastAsia" w:ascii="仿宋_GB2312" w:hAnsi="仿宋_GB2312" w:eastAsia="仿宋_GB2312" w:cs="仿宋_GB2312"/>
          <w:szCs w:val="32"/>
          <w:lang w:val="en-US"/>
        </w:rPr>
        <w:t>大</w:t>
      </w:r>
      <w:r>
        <w:rPr>
          <w:rFonts w:hint="eastAsia" w:ascii="仿宋_GB2312" w:hAnsi="仿宋_GB2312" w:eastAsia="仿宋_GB2312" w:cs="仿宋_GB2312"/>
          <w:szCs w:val="32"/>
        </w:rPr>
        <w:t>旗，乡村振兴战略为全旗建立健全城乡融合发展体制机制和政策体系、加快推进乡村治理体系和治理能力现代化、加快推进农业农村现代化提供了重要战略契机。</w:t>
      </w:r>
      <w:bookmarkStart w:id="129" w:name="_Toc879764648"/>
      <w:bookmarkStart w:id="130" w:name="_Toc1076764762"/>
      <w:bookmarkStart w:id="131" w:name="_Toc1771946060"/>
      <w:bookmarkStart w:id="132" w:name="_Toc960324020_WPSOffice_Level3"/>
      <w:bookmarkStart w:id="133" w:name="_Toc1427605357"/>
    </w:p>
    <w:p w14:paraId="3F06B0B7">
      <w:pPr>
        <w:spacing w:line="600" w:lineRule="exact"/>
        <w:ind w:firstLine="643"/>
        <w:rPr>
          <w:rFonts w:ascii="仿宋_GB2312" w:hAnsi="仿宋_GB2312" w:eastAsia="仿宋_GB2312" w:cs="仿宋_GB2312"/>
        </w:rPr>
      </w:pPr>
      <w:r>
        <w:rPr>
          <w:rStyle w:val="34"/>
          <w:rFonts w:hint="eastAsia" w:ascii="楷体_GB2312" w:hAnsi="楷体_GB2312" w:eastAsia="楷体_GB2312" w:cs="楷体_GB2312"/>
          <w:lang w:val="en-US"/>
        </w:rPr>
        <w:t>——城乡建设利好政策拓展巨大发展空间</w:t>
      </w:r>
      <w:bookmarkEnd w:id="129"/>
      <w:bookmarkEnd w:id="130"/>
      <w:bookmarkEnd w:id="131"/>
      <w:bookmarkEnd w:id="132"/>
      <w:bookmarkEnd w:id="133"/>
      <w:r>
        <w:rPr>
          <w:rStyle w:val="34"/>
          <w:rFonts w:hint="eastAsia" w:ascii="楷体_GB2312" w:hAnsi="楷体_GB2312" w:eastAsia="楷体_GB2312" w:cs="楷体_GB2312"/>
        </w:rPr>
        <w:t>。</w:t>
      </w:r>
      <w:r>
        <w:rPr>
          <w:rFonts w:hint="eastAsia" w:ascii="仿宋_GB2312" w:hAnsi="仿宋_GB2312" w:eastAsia="仿宋_GB2312" w:cs="仿宋_GB2312"/>
          <w:szCs w:val="32"/>
        </w:rPr>
        <w:t>新一轮西部大开发战略、国家促进内蒙古经济发展的意见以及“两新一重”建设，将有力助推基础设施建设，</w:t>
      </w:r>
      <w:r>
        <w:rPr>
          <w:rFonts w:hint="eastAsia" w:ascii="仿宋_GB2312" w:hAnsi="仿宋_GB2312" w:eastAsia="仿宋_GB2312" w:cs="仿宋_GB2312"/>
          <w:szCs w:val="32"/>
          <w:lang w:val="en-US"/>
        </w:rPr>
        <w:t>加快旗域新型</w:t>
      </w:r>
      <w:r>
        <w:rPr>
          <w:rFonts w:hint="eastAsia" w:ascii="仿宋_GB2312" w:hAnsi="仿宋_GB2312" w:eastAsia="仿宋_GB2312" w:cs="仿宋_GB2312"/>
          <w:szCs w:val="32"/>
        </w:rPr>
        <w:t>城镇化发展；</w:t>
      </w:r>
      <w:r>
        <w:rPr>
          <w:rFonts w:hint="eastAsia" w:ascii="仿宋_GB2312" w:hAnsi="仿宋_GB2312" w:eastAsia="仿宋_GB2312" w:cs="仿宋_GB2312"/>
          <w:color w:val="000000"/>
          <w:spacing w:val="11"/>
          <w:w w:val="93"/>
          <w:kern w:val="21"/>
          <w:szCs w:val="32"/>
        </w:rPr>
        <w:t>自治区建设国家现代能源经济示范区、鄂尔多斯打造国家资源型城市转型升级示范市以及呼包鄂国家自主创新示范区、鄂尔多斯国家可持续发展创新示范区等战略举措，为我旗推动资源、区位、生态、产业基础等比较优势转化为发展优势创造了巨大空间。</w:t>
      </w:r>
    </w:p>
    <w:p w14:paraId="4E324EA3">
      <w:pPr>
        <w:pStyle w:val="4"/>
        <w:spacing w:line="600" w:lineRule="exact"/>
        <w:rPr>
          <w:rFonts w:ascii="楷体_GB2312" w:hAnsi="楷体_GB2312" w:eastAsia="楷体_GB2312" w:cs="楷体_GB2312"/>
        </w:rPr>
      </w:pPr>
      <w:bookmarkStart w:id="134" w:name="_Toc24053"/>
      <w:bookmarkStart w:id="135" w:name="_Toc20742"/>
      <w:bookmarkStart w:id="136" w:name="_Toc1488882600"/>
      <w:r>
        <w:rPr>
          <w:rFonts w:hint="eastAsia" w:ascii="楷体_GB2312" w:hAnsi="楷体_GB2312" w:eastAsia="楷体_GB2312" w:cs="楷体_GB2312"/>
          <w:lang w:val="en-US"/>
        </w:rPr>
        <w:t xml:space="preserve">第二节 </w:t>
      </w:r>
      <w:r>
        <w:rPr>
          <w:rFonts w:hint="eastAsia" w:ascii="楷体_GB2312" w:hAnsi="楷体_GB2312" w:eastAsia="楷体_GB2312" w:cs="楷体_GB2312"/>
        </w:rPr>
        <w:t>面临的挑战</w:t>
      </w:r>
      <w:bookmarkEnd w:id="134"/>
      <w:bookmarkEnd w:id="135"/>
      <w:bookmarkEnd w:id="136"/>
    </w:p>
    <w:p w14:paraId="48A36B11">
      <w:pPr>
        <w:spacing w:line="600" w:lineRule="exact"/>
        <w:ind w:firstLine="643"/>
        <w:rPr>
          <w:rFonts w:ascii="Times New Roman" w:hAnsi="Times New Roman" w:eastAsia="仿宋_GB2312" w:cs="Times New Roman"/>
          <w:szCs w:val="32"/>
        </w:rPr>
      </w:pPr>
      <w:r>
        <w:rPr>
          <w:rFonts w:hint="eastAsia" w:ascii="Times New Roman" w:hAnsi="Times New Roman" w:eastAsia="楷体_GB2312" w:cs="Times New Roman"/>
          <w:b/>
          <w:bCs/>
          <w:color w:val="000007"/>
          <w:szCs w:val="32"/>
        </w:rPr>
        <w:t>——</w:t>
      </w:r>
      <w:r>
        <w:rPr>
          <w:rFonts w:ascii="Times New Roman" w:hAnsi="Times New Roman" w:eastAsia="楷体_GB2312" w:cs="Times New Roman"/>
          <w:b/>
          <w:bCs/>
          <w:color w:val="000007"/>
          <w:szCs w:val="32"/>
        </w:rPr>
        <w:t>经济下行压力依然严峻。</w:t>
      </w:r>
      <w:r>
        <w:rPr>
          <w:rFonts w:hint="eastAsia" w:ascii="仿宋_GB2312" w:hAnsi="仿宋_GB2312" w:eastAsia="仿宋_GB2312" w:cs="仿宋_GB2312"/>
          <w:szCs w:val="32"/>
        </w:rPr>
        <w:t>受国家宏观经济形势影响，市场需求全面放缓，投资和消费信心减弱，转方式、调结构、换动能任务艰巨，内外部整体经济不确定性、不稳定性因素日益增大，为我旗“十四五”期间的发展带来挑战。</w:t>
      </w:r>
    </w:p>
    <w:p w14:paraId="17CE6F78">
      <w:pPr>
        <w:spacing w:line="600" w:lineRule="exact"/>
        <w:ind w:firstLine="643"/>
        <w:rPr>
          <w:rFonts w:ascii="Times New Roman" w:hAnsi="Times New Roman" w:eastAsia="仿宋_GB2312" w:cs="Times New Roman"/>
          <w:szCs w:val="32"/>
        </w:rPr>
      </w:pPr>
      <w:r>
        <w:rPr>
          <w:rFonts w:hint="eastAsia" w:ascii="Times New Roman" w:hAnsi="Times New Roman" w:eastAsia="楷体_GB2312" w:cs="Times New Roman"/>
          <w:b/>
          <w:bCs/>
          <w:color w:val="000007"/>
          <w:szCs w:val="32"/>
        </w:rPr>
        <w:t>——</w:t>
      </w:r>
      <w:r>
        <w:rPr>
          <w:rFonts w:ascii="Times New Roman" w:hAnsi="Times New Roman" w:eastAsia="楷体_GB2312" w:cs="Times New Roman"/>
          <w:b/>
          <w:bCs/>
          <w:color w:val="000007"/>
          <w:szCs w:val="32"/>
        </w:rPr>
        <w:t>疫情冲击影响</w:t>
      </w:r>
      <w:r>
        <w:rPr>
          <w:rFonts w:ascii="Times New Roman" w:hAnsi="Times New Roman" w:eastAsia="楷体_GB2312" w:cs="Times New Roman"/>
          <w:b/>
          <w:bCs/>
          <w:color w:val="000007"/>
          <w:szCs w:val="32"/>
          <w:lang w:val="en-US"/>
        </w:rPr>
        <w:t>市场循环</w:t>
      </w:r>
      <w:r>
        <w:rPr>
          <w:rFonts w:ascii="Times New Roman" w:hAnsi="Times New Roman" w:eastAsia="楷体_GB2312" w:cs="Times New Roman"/>
          <w:b/>
          <w:bCs/>
          <w:color w:val="000007"/>
          <w:szCs w:val="32"/>
        </w:rPr>
        <w:t>。</w:t>
      </w:r>
      <w:r>
        <w:rPr>
          <w:rFonts w:ascii="Times New Roman" w:hAnsi="Times New Roman" w:eastAsia="仿宋_GB2312" w:cs="Times New Roman"/>
          <w:szCs w:val="32"/>
        </w:rPr>
        <w:t>疫情对产业链、供应链稳定性的影响仍然存在，部分行业供应链面临断链、失衡，上游原材料断供、订单延迟兑现、商务合同纠纷等制约了企业产能扩大，影响市场正常循环，给我旗产业发展带来挑战。</w:t>
      </w:r>
    </w:p>
    <w:p w14:paraId="5C6C466C">
      <w:pPr>
        <w:spacing w:line="600" w:lineRule="exact"/>
        <w:ind w:firstLine="643"/>
        <w:rPr>
          <w:rFonts w:ascii="仿宋_GB2312" w:hAnsi="仿宋_GB2312" w:eastAsia="仿宋_GB2312" w:cs="仿宋_GB2312"/>
          <w:szCs w:val="32"/>
        </w:rPr>
      </w:pPr>
      <w:r>
        <w:rPr>
          <w:rFonts w:hint="eastAsia" w:ascii="Times New Roman" w:hAnsi="Times New Roman" w:eastAsia="楷体_GB2312" w:cs="Times New Roman"/>
          <w:b/>
          <w:bCs/>
          <w:color w:val="000007"/>
          <w:szCs w:val="32"/>
        </w:rPr>
        <w:t>——</w:t>
      </w:r>
      <w:r>
        <w:rPr>
          <w:rFonts w:ascii="Times New Roman" w:hAnsi="Times New Roman" w:eastAsia="楷体_GB2312" w:cs="Times New Roman"/>
          <w:b/>
          <w:bCs/>
          <w:color w:val="000007"/>
          <w:szCs w:val="32"/>
        </w:rPr>
        <w:t>生态环保新要求给产业发展</w:t>
      </w:r>
      <w:r>
        <w:rPr>
          <w:rFonts w:ascii="Times New Roman" w:hAnsi="Times New Roman" w:eastAsia="楷体_GB2312" w:cs="Times New Roman"/>
          <w:b/>
          <w:bCs/>
          <w:color w:val="000007"/>
          <w:szCs w:val="32"/>
          <w:lang w:val="en-US"/>
        </w:rPr>
        <w:t>带来挑战</w:t>
      </w:r>
      <w:r>
        <w:rPr>
          <w:rFonts w:ascii="Times New Roman" w:hAnsi="Times New Roman" w:eastAsia="楷体_GB2312" w:cs="Times New Roman"/>
          <w:b/>
          <w:bCs/>
          <w:color w:val="000007"/>
          <w:szCs w:val="32"/>
        </w:rPr>
        <w:t>。</w:t>
      </w:r>
      <w:r>
        <w:rPr>
          <w:rFonts w:hint="eastAsia" w:ascii="仿宋_GB2312" w:hAnsi="仿宋_GB2312" w:eastAsia="仿宋_GB2312" w:cs="仿宋_GB2312"/>
          <w:szCs w:val="32"/>
        </w:rPr>
        <w:t>资源型经济仍然是我旗主导产业之一，同时我旗又是国家重要的商品粮生产基地和祖国北方重要的生态安全屏障，承担着生态保护与能源保障双重任务，能源消耗总量和强度“双控”任务艰巨，实现新兴产业和传统资源型产业的融合升级是达拉特旗“十四五”期间实施高质量发展的重大挑战。</w:t>
      </w:r>
    </w:p>
    <w:p w14:paraId="68600F64">
      <w:pPr>
        <w:spacing w:line="600" w:lineRule="exact"/>
        <w:ind w:firstLine="643"/>
      </w:pPr>
      <w:r>
        <w:rPr>
          <w:rFonts w:hint="eastAsia" w:ascii="Times New Roman" w:hAnsi="Times New Roman" w:eastAsia="楷体_GB2312" w:cs="Times New Roman"/>
          <w:b/>
          <w:bCs/>
          <w:color w:val="000007"/>
          <w:szCs w:val="32"/>
        </w:rPr>
        <w:t>——</w:t>
      </w:r>
      <w:r>
        <w:rPr>
          <w:rFonts w:ascii="Times New Roman" w:hAnsi="Times New Roman" w:eastAsia="楷体_GB2312" w:cs="Times New Roman"/>
          <w:b/>
          <w:bCs/>
          <w:color w:val="000007"/>
          <w:szCs w:val="32"/>
        </w:rPr>
        <w:t>周边区域竞争带来</w:t>
      </w:r>
      <w:r>
        <w:rPr>
          <w:rFonts w:ascii="Times New Roman" w:hAnsi="Times New Roman" w:eastAsia="楷体_GB2312" w:cs="Times New Roman"/>
          <w:b/>
          <w:bCs/>
          <w:color w:val="000007"/>
          <w:szCs w:val="32"/>
          <w:lang w:val="en-US"/>
        </w:rPr>
        <w:t>巨大发展压力</w:t>
      </w:r>
      <w:r>
        <w:rPr>
          <w:rFonts w:ascii="Times New Roman" w:hAnsi="Times New Roman" w:eastAsia="楷体_GB2312" w:cs="Times New Roman"/>
          <w:b/>
          <w:bCs/>
          <w:color w:val="000007"/>
          <w:szCs w:val="32"/>
        </w:rPr>
        <w:t>。</w:t>
      </w:r>
      <w:r>
        <w:rPr>
          <w:rFonts w:ascii="Times New Roman" w:hAnsi="Times New Roman" w:eastAsia="仿宋_GB2312" w:cs="Times New Roman"/>
          <w:szCs w:val="32"/>
        </w:rPr>
        <w:t>与我旗临近的包头市、鄂尔多斯市等极核城市资源要素集聚、人口密集，虹吸效应较大，毗邻的准格尔、伊金霍洛等周边旗区发展较快，对于我旗的高端人才和优质项目引进形成压力。</w:t>
      </w:r>
      <w:bookmarkEnd w:id="108"/>
    </w:p>
    <w:p w14:paraId="44D962A0">
      <w:pPr>
        <w:pStyle w:val="3"/>
        <w:spacing w:line="600" w:lineRule="exact"/>
        <w:rPr>
          <w:rFonts w:ascii="Times New Roman" w:hAnsi="Times New Roman" w:cs="Times New Roman"/>
          <w:bCs w:val="0"/>
          <w:szCs w:val="32"/>
          <w:shd w:val="clear" w:color="auto" w:fill="FFFFFF"/>
          <w:lang w:val="en-US"/>
        </w:rPr>
      </w:pPr>
      <w:bookmarkStart w:id="137" w:name="_bookmark28"/>
      <w:bookmarkEnd w:id="137"/>
      <w:bookmarkStart w:id="138" w:name="_Toc59098759"/>
      <w:bookmarkStart w:id="139" w:name="_Toc2823"/>
      <w:bookmarkStart w:id="140" w:name="_Toc24268"/>
      <w:bookmarkStart w:id="141" w:name="_Toc14532"/>
      <w:bookmarkStart w:id="142" w:name="_Toc1170403356"/>
      <w:bookmarkStart w:id="143" w:name="_Toc22932"/>
      <w:bookmarkStart w:id="144" w:name="_Toc17128"/>
      <w:r>
        <w:rPr>
          <w:rFonts w:ascii="Times New Roman" w:hAnsi="Times New Roman" w:cs="Times New Roman"/>
          <w:bCs w:val="0"/>
          <w:szCs w:val="32"/>
          <w:shd w:val="clear" w:color="auto" w:fill="FFFFFF"/>
          <w:lang w:val="en-US"/>
        </w:rPr>
        <w:t>第三章总体思路</w:t>
      </w:r>
      <w:bookmarkEnd w:id="138"/>
      <w:r>
        <w:rPr>
          <w:rFonts w:ascii="Times New Roman" w:hAnsi="Times New Roman" w:cs="Times New Roman"/>
          <w:bCs w:val="0"/>
          <w:szCs w:val="32"/>
          <w:shd w:val="clear" w:color="auto" w:fill="FFFFFF"/>
          <w:lang w:val="en-US"/>
        </w:rPr>
        <w:t>和发展目标</w:t>
      </w:r>
      <w:bookmarkEnd w:id="139"/>
      <w:bookmarkEnd w:id="140"/>
      <w:bookmarkEnd w:id="141"/>
      <w:bookmarkEnd w:id="142"/>
      <w:bookmarkEnd w:id="143"/>
      <w:bookmarkEnd w:id="144"/>
    </w:p>
    <w:p w14:paraId="1C984C48">
      <w:pPr>
        <w:pStyle w:val="4"/>
        <w:spacing w:line="600" w:lineRule="exact"/>
        <w:rPr>
          <w:rFonts w:ascii="楷体_GB2312" w:hAnsi="楷体_GB2312" w:eastAsia="楷体_GB2312" w:cs="楷体_GB2312"/>
        </w:rPr>
      </w:pPr>
      <w:bookmarkStart w:id="145" w:name="_Toc29117"/>
      <w:bookmarkStart w:id="146" w:name="_Toc18611"/>
      <w:bookmarkStart w:id="147" w:name="_Toc25355"/>
      <w:bookmarkStart w:id="148" w:name="_Toc25261"/>
      <w:bookmarkStart w:id="149" w:name="_Toc59098760"/>
      <w:bookmarkStart w:id="150" w:name="_Toc18997772"/>
      <w:bookmarkStart w:id="151" w:name="_Toc26608"/>
      <w:bookmarkStart w:id="152" w:name="_Toc27688"/>
      <w:r>
        <w:rPr>
          <w:rFonts w:hint="eastAsia" w:ascii="楷体_GB2312" w:hAnsi="楷体_GB2312" w:eastAsia="楷体_GB2312" w:cs="楷体_GB2312"/>
        </w:rPr>
        <w:t>第一节 指导思想</w:t>
      </w:r>
      <w:bookmarkEnd w:id="145"/>
      <w:bookmarkEnd w:id="146"/>
      <w:bookmarkEnd w:id="147"/>
      <w:bookmarkEnd w:id="148"/>
      <w:bookmarkEnd w:id="149"/>
      <w:bookmarkEnd w:id="150"/>
      <w:bookmarkEnd w:id="151"/>
      <w:bookmarkEnd w:id="152"/>
    </w:p>
    <w:p w14:paraId="1357E805">
      <w:pPr>
        <w:spacing w:line="600" w:lineRule="exact"/>
        <w:ind w:firstLine="640"/>
        <w:rPr>
          <w:rFonts w:ascii="仿宋_GB2312" w:hAnsi="仿宋_GB2312" w:eastAsia="仿宋_GB2312" w:cs="仿宋_GB2312"/>
        </w:rPr>
      </w:pPr>
      <w:bookmarkStart w:id="153" w:name="_Toc10052"/>
      <w:r>
        <w:rPr>
          <w:rFonts w:hint="eastAsia" w:ascii="仿宋_GB2312" w:hAnsi="仿宋_GB2312" w:eastAsia="仿宋_GB2312" w:cs="仿宋_GB2312"/>
          <w:szCs w:val="32"/>
        </w:rPr>
        <w:t>以习近平新时代中国特色社会主义思想为指导，深入贯彻党的十九大和十九届二中、三中、四中、五中全会精神，全面落实习近平总书记关于内蒙古的重要指示批示精神，统筹推进“五位一体”总体布局，协调推进“四个全面”战略布局，坚持以人民为中心，坚定不移贯彻新发展理念，坚持稳中求进工作总基调，以推动高质量发展为主题，以深化供给侧结构性改革为主线，以改革创新为根本动力，以满足人民日益增长的美好生活需要为根本目的，统筹发展和安全，积极融入以国内大循环为主体、国内国际双循环相互促进的新发展格局，</w:t>
      </w:r>
      <w:r>
        <w:rPr>
          <w:rFonts w:hint="eastAsia" w:ascii="仿宋_GB2312" w:hAnsi="仿宋_GB2312" w:eastAsia="仿宋_GB2312" w:cs="仿宋_GB2312"/>
          <w:szCs w:val="32"/>
          <w:lang w:val="en-US"/>
        </w:rPr>
        <w:t>坚持“生态优先</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绿色发展”</w:t>
      </w:r>
      <w:r>
        <w:rPr>
          <w:rFonts w:hint="eastAsia" w:ascii="仿宋_GB2312" w:hAnsi="仿宋_GB2312" w:eastAsia="仿宋_GB2312" w:cs="仿宋_GB2312"/>
          <w:szCs w:val="32"/>
        </w:rPr>
        <w:t>，紧跟自治区“两个屏障”“两个基地”和“一个桥头堡”战略方向</w:t>
      </w:r>
      <w:r>
        <w:rPr>
          <w:rFonts w:ascii="仿宋_GB2312" w:hAnsi="仿宋_GB2312" w:eastAsia="仿宋_GB2312" w:cs="仿宋_GB2312"/>
          <w:szCs w:val="32"/>
        </w:rPr>
        <w:t>，</w:t>
      </w:r>
      <w:r>
        <w:rPr>
          <w:rFonts w:hint="eastAsia" w:ascii="仿宋_GB2312" w:hAnsi="仿宋_GB2312" w:eastAsia="仿宋_GB2312" w:cs="仿宋_GB2312"/>
          <w:szCs w:val="32"/>
        </w:rPr>
        <w:t>推动大农业革命、大工业循环、大生态保护、大旅游构建、大物流配套、大城市融入，努力将达拉特旗建设成为黄河流域生态保护绿色发展先行试验区、“黄河几字弯”优质农畜产品生产加工输出区、内蒙古中西部地区清洁能源和精细化工产业核心区、库布其国际沙漠旅游休闲度假目的地、呼包鄂地区新型智慧商贸物流综合集散地、呼包鄂乌城市群重要节点城市，实现经济行稳致远、社会安定和谐，为全面建设社会主义现代化开好局、起好步。</w:t>
      </w:r>
      <w:bookmarkEnd w:id="153"/>
    </w:p>
    <w:p w14:paraId="517C4034">
      <w:pPr>
        <w:pStyle w:val="4"/>
        <w:spacing w:line="600" w:lineRule="exact"/>
        <w:rPr>
          <w:rFonts w:ascii="楷体_GB2312" w:hAnsi="楷体_GB2312" w:eastAsia="楷体_GB2312" w:cs="楷体_GB2312"/>
        </w:rPr>
      </w:pPr>
      <w:bookmarkStart w:id="154" w:name="_Toc22514"/>
      <w:bookmarkStart w:id="155" w:name="_Toc26961"/>
      <w:bookmarkStart w:id="156" w:name="_Toc23277"/>
      <w:bookmarkStart w:id="157" w:name="_Toc1467974248"/>
      <w:bookmarkStart w:id="158" w:name="_Toc6211"/>
      <w:bookmarkStart w:id="159" w:name="_Toc3271"/>
      <w:r>
        <w:rPr>
          <w:rFonts w:hint="eastAsia" w:ascii="楷体_GB2312" w:hAnsi="楷体_GB2312" w:eastAsia="楷体_GB2312" w:cs="楷体_GB2312"/>
        </w:rPr>
        <w:t>第二节 基本原则</w:t>
      </w:r>
      <w:bookmarkEnd w:id="154"/>
      <w:bookmarkEnd w:id="155"/>
      <w:bookmarkEnd w:id="156"/>
      <w:bookmarkEnd w:id="157"/>
      <w:bookmarkEnd w:id="158"/>
      <w:bookmarkEnd w:id="159"/>
    </w:p>
    <w:p w14:paraId="304CA7EF">
      <w:pPr>
        <w:spacing w:line="600" w:lineRule="exact"/>
        <w:ind w:firstLine="643"/>
        <w:rPr>
          <w:rFonts w:ascii="仿宋_GB2312" w:hAnsi="仿宋_GB2312" w:eastAsia="仿宋_GB2312" w:cs="仿宋_GB2312"/>
        </w:rPr>
      </w:pPr>
      <w:bookmarkStart w:id="160" w:name="_Toc15678"/>
      <w:bookmarkStart w:id="161" w:name="_Toc28677"/>
      <w:bookmarkStart w:id="162" w:name="_Toc7475"/>
      <w:r>
        <w:rPr>
          <w:rStyle w:val="34"/>
          <w:rFonts w:hint="eastAsia" w:ascii="楷体_GB2312" w:hAnsi="楷体_GB2312" w:eastAsia="楷体_GB2312" w:cs="楷体_GB2312"/>
        </w:rPr>
        <w:t>——坚持党的全面领导。</w:t>
      </w:r>
      <w:bookmarkEnd w:id="160"/>
      <w:bookmarkEnd w:id="161"/>
      <w:bookmarkEnd w:id="162"/>
      <w:r>
        <w:rPr>
          <w:rFonts w:hint="eastAsia" w:ascii="仿宋_GB2312" w:hAnsi="仿宋_GB2312" w:eastAsia="仿宋_GB2312" w:cs="仿宋_GB2312"/>
          <w:szCs w:val="32"/>
          <w:lang w:val="en-US"/>
        </w:rPr>
        <w:t>持续加强</w:t>
      </w:r>
      <w:r>
        <w:rPr>
          <w:rFonts w:hint="eastAsia" w:ascii="仿宋_GB2312" w:hAnsi="仿宋_GB2312" w:eastAsia="仿宋_GB2312" w:cs="仿宋_GB2312"/>
          <w:szCs w:val="32"/>
        </w:rPr>
        <w:t>党对经济社会</w:t>
      </w:r>
      <w:r>
        <w:rPr>
          <w:rFonts w:hint="eastAsia" w:ascii="仿宋_GB2312" w:hAnsi="仿宋_GB2312" w:eastAsia="仿宋_GB2312" w:cs="仿宋_GB2312"/>
          <w:szCs w:val="32"/>
          <w:lang w:val="en-US"/>
        </w:rPr>
        <w:t>各项事业</w:t>
      </w:r>
      <w:r>
        <w:rPr>
          <w:rFonts w:hint="eastAsia" w:ascii="仿宋_GB2312" w:hAnsi="仿宋_GB2312" w:eastAsia="仿宋_GB2312" w:cs="仿宋_GB2312"/>
          <w:szCs w:val="32"/>
        </w:rPr>
        <w:t>的</w:t>
      </w:r>
      <w:r>
        <w:rPr>
          <w:rFonts w:hint="eastAsia" w:ascii="仿宋_GB2312" w:hAnsi="仿宋_GB2312" w:eastAsia="仿宋_GB2312" w:cs="仿宋_GB2312"/>
          <w:szCs w:val="32"/>
          <w:lang w:val="en-US"/>
        </w:rPr>
        <w:t>全面</w:t>
      </w:r>
      <w:r>
        <w:rPr>
          <w:rFonts w:hint="eastAsia" w:ascii="仿宋_GB2312" w:hAnsi="仿宋_GB2312" w:eastAsia="仿宋_GB2312" w:cs="仿宋_GB2312"/>
          <w:szCs w:val="32"/>
        </w:rPr>
        <w:t>领导，</w:t>
      </w:r>
      <w:r>
        <w:rPr>
          <w:rFonts w:hint="eastAsia" w:ascii="仿宋_GB2312" w:hAnsi="仿宋_GB2312" w:eastAsia="仿宋_GB2312" w:cs="仿宋_GB2312"/>
          <w:szCs w:val="32"/>
          <w:lang w:val="en-US"/>
        </w:rPr>
        <w:t>切实</w:t>
      </w:r>
      <w:r>
        <w:rPr>
          <w:rFonts w:hint="eastAsia" w:ascii="仿宋_GB2312" w:hAnsi="仿宋_GB2312" w:eastAsia="仿宋_GB2312" w:cs="仿宋_GB2312"/>
          <w:szCs w:val="32"/>
        </w:rPr>
        <w:t>增强“四个意识”、坚定“四个自信”，</w:t>
      </w:r>
      <w:r>
        <w:rPr>
          <w:rFonts w:hint="eastAsia" w:ascii="仿宋_GB2312" w:hAnsi="仿宋_GB2312" w:eastAsia="仿宋_GB2312" w:cs="仿宋_GB2312"/>
          <w:szCs w:val="32"/>
          <w:lang w:val="en-US"/>
        </w:rPr>
        <w:t>始终做到“两个维护”。坚决贯彻中央、自治区党委和市委决策部署，健全完善党领导经济社会各项工作的体制机制，</w:t>
      </w:r>
      <w:r>
        <w:rPr>
          <w:rFonts w:hint="eastAsia" w:ascii="仿宋_GB2312" w:hAnsi="仿宋_GB2312" w:eastAsia="仿宋_GB2312" w:cs="仿宋_GB2312"/>
          <w:szCs w:val="32"/>
        </w:rPr>
        <w:t>为“十四五”规划的顺利实施提供根本</w:t>
      </w:r>
      <w:r>
        <w:rPr>
          <w:rFonts w:hint="eastAsia" w:ascii="仿宋_GB2312" w:hAnsi="仿宋_GB2312" w:eastAsia="仿宋_GB2312" w:cs="仿宋_GB2312"/>
          <w:szCs w:val="32"/>
          <w:lang w:val="en-US"/>
        </w:rPr>
        <w:t>政治</w:t>
      </w:r>
      <w:r>
        <w:rPr>
          <w:rFonts w:hint="eastAsia" w:ascii="仿宋_GB2312" w:hAnsi="仿宋_GB2312" w:eastAsia="仿宋_GB2312" w:cs="仿宋_GB2312"/>
          <w:szCs w:val="32"/>
        </w:rPr>
        <w:t>保证</w:t>
      </w:r>
      <w:r>
        <w:rPr>
          <w:rFonts w:hint="eastAsia" w:ascii="仿宋_GB2312" w:hAnsi="仿宋_GB2312" w:eastAsia="仿宋_GB2312" w:cs="仿宋_GB2312"/>
        </w:rPr>
        <w:t>。</w:t>
      </w:r>
    </w:p>
    <w:p w14:paraId="1C92B3F4">
      <w:pPr>
        <w:spacing w:line="600" w:lineRule="exact"/>
        <w:ind w:firstLine="643"/>
        <w:rPr>
          <w:rFonts w:ascii="Times New Roman" w:hAnsi="Times New Roman" w:eastAsia="仿宋_GB2312" w:cs="Times New Roman"/>
          <w:szCs w:val="32"/>
        </w:rPr>
      </w:pPr>
      <w:bookmarkStart w:id="163" w:name="_Toc32735"/>
      <w:bookmarkStart w:id="164" w:name="_Toc13552"/>
      <w:bookmarkStart w:id="165" w:name="_Toc6660"/>
      <w:r>
        <w:rPr>
          <w:rStyle w:val="34"/>
          <w:rFonts w:hint="eastAsia" w:ascii="楷体_GB2312" w:hAnsi="楷体_GB2312" w:eastAsia="楷体_GB2312" w:cs="楷体_GB2312"/>
        </w:rPr>
        <w:t>——</w:t>
      </w:r>
      <w:r>
        <w:rPr>
          <w:rStyle w:val="34"/>
          <w:rFonts w:ascii="楷体_GB2312" w:hAnsi="楷体_GB2312" w:eastAsia="楷体_GB2312" w:cs="楷体_GB2312"/>
        </w:rPr>
        <w:t>坚持以人民为</w:t>
      </w:r>
      <w:r>
        <w:rPr>
          <w:rStyle w:val="34"/>
          <w:rFonts w:hint="eastAsia" w:ascii="楷体_GB2312" w:hAnsi="楷体_GB2312" w:eastAsia="楷体_GB2312" w:cs="楷体_GB2312"/>
        </w:rPr>
        <w:t>中心</w:t>
      </w:r>
      <w:r>
        <w:rPr>
          <w:rStyle w:val="34"/>
          <w:rFonts w:ascii="楷体_GB2312" w:hAnsi="楷体_GB2312" w:eastAsia="楷体_GB2312" w:cs="楷体_GB2312"/>
        </w:rPr>
        <w:t>。</w:t>
      </w:r>
      <w:bookmarkEnd w:id="163"/>
      <w:bookmarkEnd w:id="164"/>
      <w:bookmarkEnd w:id="165"/>
      <w:r>
        <w:rPr>
          <w:rFonts w:ascii="仿宋_GB2312" w:hAnsi="仿宋_GB2312" w:eastAsia="仿宋_GB2312" w:cs="仿宋_GB2312"/>
          <w:szCs w:val="32"/>
          <w:lang w:val="en-US"/>
        </w:rPr>
        <w:t>始终坚持人民主体地位，坚持把人民对美好生活的向往作为奋斗目标，多谋民生之利，多解民生之忧，激发全体人民积极性、主动性、创造性，促进社会公平，增进人民福祉，增强人民群众的幸福感获得感安全感。</w:t>
      </w:r>
    </w:p>
    <w:p w14:paraId="20E91D5F">
      <w:pPr>
        <w:spacing w:line="600" w:lineRule="exact"/>
        <w:ind w:firstLine="643"/>
        <w:rPr>
          <w:rFonts w:ascii="仿宋_GB2312" w:hAnsi="仿宋_GB2312" w:eastAsia="仿宋_GB2312" w:cs="仿宋_GB2312"/>
          <w:szCs w:val="32"/>
          <w:lang w:val="en-US"/>
        </w:rPr>
      </w:pPr>
      <w:bookmarkStart w:id="166" w:name="_Toc23280"/>
      <w:bookmarkStart w:id="167" w:name="_Toc24906"/>
      <w:bookmarkStart w:id="168" w:name="_Toc10825"/>
      <w:r>
        <w:rPr>
          <w:rStyle w:val="34"/>
          <w:rFonts w:hint="eastAsia" w:ascii="楷体_GB2312" w:hAnsi="楷体_GB2312" w:eastAsia="楷体_GB2312" w:cs="楷体_GB2312"/>
        </w:rPr>
        <w:t>——</w:t>
      </w:r>
      <w:r>
        <w:rPr>
          <w:rStyle w:val="34"/>
          <w:rFonts w:ascii="楷体_GB2312" w:hAnsi="楷体_GB2312" w:eastAsia="楷体_GB2312" w:cs="楷体_GB2312"/>
        </w:rPr>
        <w:t>坚持新发展理念。</w:t>
      </w:r>
      <w:r>
        <w:rPr>
          <w:rFonts w:ascii="仿宋_GB2312" w:hAnsi="仿宋_GB2312" w:eastAsia="仿宋_GB2312" w:cs="仿宋_GB2312"/>
          <w:szCs w:val="32"/>
          <w:lang w:val="en-US"/>
        </w:rPr>
        <w:t>始终把新发展理念贯穿发展全过程、各领域，</w:t>
      </w:r>
      <w:r>
        <w:rPr>
          <w:rFonts w:hint="eastAsia" w:ascii="仿宋_GB2312" w:hAnsi="仿宋_GB2312" w:eastAsia="仿宋_GB2312" w:cs="仿宋_GB2312"/>
          <w:szCs w:val="32"/>
          <w:lang w:val="en-US"/>
        </w:rPr>
        <w:t>坚定不移走以生态优先、 绿色发展为导向的高质量发展新路子，</w:t>
      </w:r>
      <w:r>
        <w:rPr>
          <w:rFonts w:ascii="仿宋_GB2312" w:hAnsi="仿宋_GB2312" w:eastAsia="仿宋_GB2312" w:cs="仿宋_GB2312"/>
          <w:szCs w:val="32"/>
          <w:lang w:val="en-US"/>
        </w:rPr>
        <w:t>聚力推动“六大战略”和“三区两地一节点”建设，</w:t>
      </w:r>
      <w:r>
        <w:rPr>
          <w:rFonts w:hint="eastAsia" w:ascii="仿宋_GB2312" w:hAnsi="仿宋_GB2312" w:eastAsia="仿宋_GB2312" w:cs="仿宋_GB2312"/>
          <w:szCs w:val="32"/>
          <w:lang w:val="en-US"/>
        </w:rPr>
        <w:t>着力</w:t>
      </w:r>
      <w:r>
        <w:rPr>
          <w:rFonts w:ascii="仿宋_GB2312" w:hAnsi="仿宋_GB2312" w:eastAsia="仿宋_GB2312" w:cs="仿宋_GB2312"/>
          <w:szCs w:val="32"/>
          <w:lang w:val="en-US"/>
        </w:rPr>
        <w:t>构建新发展格局，实现更高质量、更有效率、更加公平、更可持续、更为安全的发展。</w:t>
      </w:r>
    </w:p>
    <w:p w14:paraId="0B2A99DC">
      <w:pPr>
        <w:pStyle w:val="10"/>
        <w:spacing w:line="600" w:lineRule="exact"/>
        <w:ind w:left="4" w:firstLine="643"/>
        <w:rPr>
          <w:rFonts w:ascii="仿宋_GB2312" w:hAnsi="仿宋_GB2312" w:eastAsia="仿宋_GB2312" w:cs="仿宋_GB2312"/>
          <w:sz w:val="32"/>
          <w:szCs w:val="32"/>
          <w:lang w:val="en-US"/>
        </w:rPr>
      </w:pPr>
      <w:r>
        <w:rPr>
          <w:rStyle w:val="34"/>
          <w:rFonts w:hint="eastAsia" w:ascii="楷体_GB2312" w:hAnsi="楷体_GB2312" w:eastAsia="楷体_GB2312" w:cs="楷体_GB2312"/>
        </w:rPr>
        <w:t>——</w:t>
      </w:r>
      <w:r>
        <w:rPr>
          <w:rStyle w:val="34"/>
          <w:rFonts w:ascii="楷体_GB2312" w:hAnsi="楷体_GB2312" w:eastAsia="楷体_GB2312" w:cs="楷体_GB2312"/>
        </w:rPr>
        <w:t>坚持</w:t>
      </w:r>
      <w:r>
        <w:rPr>
          <w:rStyle w:val="34"/>
          <w:rFonts w:hint="eastAsia" w:ascii="楷体_GB2312" w:hAnsi="楷体_GB2312" w:eastAsia="楷体_GB2312" w:cs="楷体_GB2312"/>
        </w:rPr>
        <w:t>深化</w:t>
      </w:r>
      <w:r>
        <w:rPr>
          <w:rStyle w:val="34"/>
          <w:rFonts w:ascii="楷体_GB2312" w:hAnsi="楷体_GB2312" w:eastAsia="楷体_GB2312" w:cs="楷体_GB2312"/>
        </w:rPr>
        <w:t>改革开放。</w:t>
      </w:r>
      <w:r>
        <w:rPr>
          <w:rFonts w:ascii="仿宋_GB2312" w:hAnsi="仿宋_GB2312" w:eastAsia="仿宋_GB2312" w:cs="仿宋_GB2312"/>
          <w:sz w:val="32"/>
          <w:szCs w:val="32"/>
          <w:lang w:val="en-US"/>
        </w:rPr>
        <w:t>坚定不移推进改革，坚定不移扩大开放，加强社会治理体系和治理能力现代化建设，坚持优存量和调增量结合、全产业与全领域结合，更加注重提质增效，提高资源配置效率，持续增强发展动力和活力，实现我旗在“十四五”期间的整体超越。</w:t>
      </w:r>
    </w:p>
    <w:bookmarkEnd w:id="166"/>
    <w:bookmarkEnd w:id="167"/>
    <w:bookmarkEnd w:id="168"/>
    <w:p w14:paraId="68C2F7E4">
      <w:pPr>
        <w:spacing w:line="600" w:lineRule="exact"/>
        <w:ind w:firstLine="643"/>
        <w:rPr>
          <w:rFonts w:ascii="Times New Roman" w:hAnsi="Times New Roman" w:eastAsia="仿宋_GB2312" w:cs="Times New Roman"/>
          <w:szCs w:val="32"/>
        </w:rPr>
      </w:pPr>
      <w:bookmarkStart w:id="169" w:name="_Toc10233"/>
      <w:bookmarkStart w:id="170" w:name="_Toc466"/>
      <w:bookmarkStart w:id="171" w:name="_Toc17378"/>
      <w:r>
        <w:rPr>
          <w:rStyle w:val="34"/>
          <w:rFonts w:hint="eastAsia" w:ascii="楷体_GB2312" w:hAnsi="楷体_GB2312" w:eastAsia="楷体_GB2312" w:cs="楷体_GB2312"/>
        </w:rPr>
        <w:t>——</w:t>
      </w:r>
      <w:r>
        <w:rPr>
          <w:rStyle w:val="34"/>
          <w:rFonts w:ascii="楷体_GB2312" w:hAnsi="楷体_GB2312" w:eastAsia="楷体_GB2312" w:cs="楷体_GB2312"/>
        </w:rPr>
        <w:t>坚持系</w:t>
      </w:r>
      <w:r>
        <w:rPr>
          <w:rStyle w:val="34"/>
          <w:rFonts w:ascii="楷体_GB2312" w:hAnsi="楷体_GB2312" w:eastAsia="楷体_GB2312" w:cs="楷体_GB2312"/>
          <w:lang w:val="en-US"/>
        </w:rPr>
        <w:t>统</w:t>
      </w:r>
      <w:bookmarkEnd w:id="169"/>
      <w:bookmarkEnd w:id="170"/>
      <w:bookmarkEnd w:id="171"/>
      <w:r>
        <w:rPr>
          <w:rStyle w:val="34"/>
          <w:rFonts w:hint="eastAsia" w:ascii="楷体_GB2312" w:hAnsi="楷体_GB2312" w:eastAsia="楷体_GB2312" w:cs="楷体_GB2312"/>
          <w:lang w:val="en-US"/>
        </w:rPr>
        <w:t>观念</w:t>
      </w:r>
      <w:r>
        <w:rPr>
          <w:rStyle w:val="34"/>
          <w:rFonts w:ascii="楷体_GB2312" w:hAnsi="楷体_GB2312" w:eastAsia="楷体_GB2312" w:cs="楷体_GB2312"/>
        </w:rPr>
        <w:t>。</w:t>
      </w:r>
      <w:r>
        <w:rPr>
          <w:rFonts w:ascii="仿宋_GB2312" w:hAnsi="仿宋_GB2312" w:eastAsia="仿宋_GB2312" w:cs="仿宋_GB2312"/>
          <w:szCs w:val="32"/>
          <w:lang w:val="en-US"/>
        </w:rPr>
        <w:t>加强前瞻性思考、全局性谋划、战略性布局、整体性推进，坚持全旗上下一盘棋，注重防范化解重大风险挑战，持续优化结构、提升效率，实现发展质量、结构、规模、速度、效益、安全相统一。坚持生产与消费并重、城市与农村并重、线下与线上并重，切实提高产品和服务质量，完善城乡基础设施，扩大开放合作，有效释放市场潜能。</w:t>
      </w:r>
      <w:bookmarkStart w:id="172" w:name="_Toc15701"/>
      <w:bookmarkStart w:id="173" w:name="_Toc16923"/>
      <w:bookmarkStart w:id="174" w:name="_Toc30807"/>
    </w:p>
    <w:bookmarkEnd w:id="172"/>
    <w:bookmarkEnd w:id="173"/>
    <w:bookmarkEnd w:id="174"/>
    <w:p w14:paraId="3782304E">
      <w:pPr>
        <w:pStyle w:val="4"/>
        <w:spacing w:line="600" w:lineRule="exact"/>
        <w:rPr>
          <w:rFonts w:ascii="楷体_GB2312" w:hAnsi="楷体_GB2312" w:eastAsia="楷体_GB2312" w:cs="楷体_GB2312"/>
        </w:rPr>
      </w:pPr>
      <w:bookmarkStart w:id="175" w:name="_Toc18660"/>
      <w:bookmarkStart w:id="176" w:name="_Toc1951049400"/>
      <w:bookmarkStart w:id="177" w:name="_Toc19629"/>
      <w:r>
        <w:rPr>
          <w:rFonts w:hint="eastAsia" w:ascii="楷体_GB2312" w:hAnsi="楷体_GB2312" w:eastAsia="楷体_GB2312" w:cs="楷体_GB2312"/>
        </w:rPr>
        <w:t>第三节 发展目标</w:t>
      </w:r>
      <w:bookmarkEnd w:id="175"/>
      <w:bookmarkEnd w:id="176"/>
      <w:bookmarkEnd w:id="177"/>
    </w:p>
    <w:p w14:paraId="049E7513">
      <w:pPr>
        <w:spacing w:line="600" w:lineRule="exact"/>
        <w:ind w:firstLine="643"/>
        <w:rPr>
          <w:rFonts w:ascii="仿宋_GB2312" w:hAnsi="仿宋_GB2312" w:eastAsia="仿宋_GB2312" w:cs="仿宋_GB2312"/>
        </w:rPr>
      </w:pPr>
      <w:r>
        <w:rPr>
          <w:rStyle w:val="34"/>
          <w:rFonts w:hint="eastAsia" w:ascii="楷体_GB2312" w:hAnsi="楷体_GB2312" w:eastAsia="楷体_GB2312" w:cs="楷体_GB2312"/>
        </w:rPr>
        <w:t>——综合实力跃上新台阶。</w:t>
      </w:r>
      <w:r>
        <w:rPr>
          <w:rFonts w:hint="eastAsia" w:ascii="仿宋_GB2312" w:hAnsi="仿宋_GB2312" w:eastAsia="仿宋_GB2312" w:cs="仿宋_GB2312"/>
        </w:rPr>
        <w:t>产业转型升级取得显著成效，自主创新能力和核心竞争</w:t>
      </w:r>
      <w:r>
        <w:rPr>
          <w:rFonts w:hint="eastAsia" w:ascii="仿宋_GB2312" w:hAnsi="仿宋_GB2312" w:eastAsia="仿宋_GB2312" w:cs="仿宋_GB2312"/>
          <w:szCs w:val="32"/>
        </w:rPr>
        <w:t>力明显加强。到2025年，全旗地区生产总值年均增长6</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左右；全社会固</w:t>
      </w:r>
      <w:r>
        <w:rPr>
          <w:rFonts w:hint="eastAsia" w:ascii="仿宋_GB2312" w:hAnsi="仿宋_GB2312" w:eastAsia="仿宋_GB2312" w:cs="仿宋_GB2312"/>
        </w:rPr>
        <w:t>定资产投资累计完成</w:t>
      </w:r>
      <w:r>
        <w:rPr>
          <w:rFonts w:hint="eastAsia" w:ascii="仿宋_GB2312" w:hAnsi="仿宋_GB2312" w:eastAsia="仿宋_GB2312" w:cs="仿宋_GB2312"/>
          <w:lang w:val="en-US"/>
        </w:rPr>
        <w:t>800亿元</w:t>
      </w:r>
      <w:r>
        <w:rPr>
          <w:rFonts w:hint="eastAsia" w:ascii="仿宋_GB2312" w:hAnsi="仿宋_GB2312" w:eastAsia="仿宋_GB2312" w:cs="仿宋_GB2312"/>
        </w:rPr>
        <w:t>左右；一般公共预算收入年均增长5</w:t>
      </w:r>
      <w:r>
        <w:rPr>
          <w:rFonts w:hint="eastAsia" w:ascii="仿宋_GB2312" w:hAnsi="仿宋_GB2312" w:eastAsia="仿宋_GB2312" w:cs="仿宋_GB2312"/>
          <w:lang w:val="en-US"/>
        </w:rPr>
        <w:t>%</w:t>
      </w:r>
      <w:r>
        <w:rPr>
          <w:rFonts w:hint="eastAsia" w:ascii="仿宋_GB2312" w:hAnsi="仿宋_GB2312" w:eastAsia="仿宋_GB2312" w:cs="仿宋_GB2312"/>
        </w:rPr>
        <w:t>左右；社会消费品零售总额年均增长6</w:t>
      </w:r>
      <w:r>
        <w:rPr>
          <w:rFonts w:hint="eastAsia" w:ascii="仿宋_GB2312" w:hAnsi="仿宋_GB2312" w:eastAsia="仿宋_GB2312" w:cs="仿宋_GB2312"/>
          <w:lang w:val="en-US"/>
        </w:rPr>
        <w:t>%</w:t>
      </w:r>
      <w:r>
        <w:rPr>
          <w:rFonts w:hint="eastAsia" w:ascii="仿宋_GB2312" w:hAnsi="仿宋_GB2312" w:eastAsia="仿宋_GB2312" w:cs="仿宋_GB2312"/>
        </w:rPr>
        <w:t>左右；文化旅游、工业物流等传统生活性服务业及生产性服务业占GDP比重目标超过</w:t>
      </w:r>
      <w:r>
        <w:rPr>
          <w:rFonts w:hint="eastAsia" w:ascii="仿宋_GB2312" w:hAnsi="仿宋_GB2312" w:eastAsia="仿宋_GB2312" w:cs="仿宋_GB2312"/>
          <w:lang w:val="en-US"/>
        </w:rPr>
        <w:t>44%，</w:t>
      </w:r>
      <w:r>
        <w:rPr>
          <w:rFonts w:hint="eastAsia" w:ascii="仿宋_GB2312" w:hAnsi="仿宋_GB2312" w:eastAsia="仿宋_GB2312" w:cs="仿宋_GB2312"/>
        </w:rPr>
        <w:t>综合实力跃升至全市中上游水平。</w:t>
      </w:r>
    </w:p>
    <w:p w14:paraId="5792245C">
      <w:pPr>
        <w:pStyle w:val="10"/>
        <w:spacing w:line="600" w:lineRule="exact"/>
        <w:ind w:left="0" w:firstLine="643"/>
        <w:rPr>
          <w:rFonts w:ascii="仿宋_GB2312" w:hAnsi="仿宋_GB2312" w:eastAsia="仿宋_GB2312" w:cs="仿宋_GB2312"/>
          <w:sz w:val="32"/>
          <w:szCs w:val="22"/>
        </w:rPr>
      </w:pPr>
      <w:r>
        <w:rPr>
          <w:rStyle w:val="34"/>
          <w:rFonts w:hint="eastAsia" w:ascii="楷体_GB2312" w:hAnsi="楷体_GB2312" w:eastAsia="楷体_GB2312" w:cs="楷体_GB2312"/>
        </w:rPr>
        <w:t>——</w:t>
      </w:r>
      <w:r>
        <w:rPr>
          <w:rStyle w:val="34"/>
          <w:rFonts w:ascii="楷体_GB2312" w:hAnsi="楷体_GB2312" w:eastAsia="楷体_GB2312" w:cs="楷体_GB2312"/>
        </w:rPr>
        <w:t>协同创新展现新活力。</w:t>
      </w:r>
      <w:r>
        <w:rPr>
          <w:rFonts w:ascii="仿宋_GB2312" w:hAnsi="仿宋_GB2312" w:eastAsia="仿宋_GB2312" w:cs="仿宋_GB2312"/>
          <w:sz w:val="32"/>
          <w:szCs w:val="22"/>
        </w:rPr>
        <w:t>以企业为主体的协同创新深入推进，全社会研究与试验发展（R&amp;D）经费占生产总值比重达到</w:t>
      </w:r>
      <w:r>
        <w:rPr>
          <w:rFonts w:hint="eastAsia" w:ascii="仿宋_GB2312" w:hAnsi="仿宋_GB2312" w:eastAsia="仿宋_GB2312" w:cs="仿宋_GB2312"/>
          <w:sz w:val="32"/>
          <w:szCs w:val="22"/>
        </w:rPr>
        <w:t>2</w:t>
      </w:r>
      <w:r>
        <w:rPr>
          <w:rFonts w:ascii="仿宋_GB2312" w:hAnsi="仿宋_GB2312" w:eastAsia="仿宋_GB2312" w:cs="仿宋_GB2312"/>
          <w:sz w:val="32"/>
          <w:szCs w:val="22"/>
          <w:lang w:val="en-US"/>
        </w:rPr>
        <w:t>%</w:t>
      </w:r>
      <w:r>
        <w:rPr>
          <w:rFonts w:ascii="仿宋_GB2312" w:hAnsi="仿宋_GB2312" w:eastAsia="仿宋_GB2312" w:cs="仿宋_GB2312"/>
          <w:sz w:val="32"/>
          <w:szCs w:val="22"/>
        </w:rPr>
        <w:t>，地方财政科技投入占地方公共财政支出比重达到</w:t>
      </w:r>
      <w:r>
        <w:rPr>
          <w:rFonts w:hint="eastAsia" w:ascii="仿宋_GB2312" w:hAnsi="仿宋_GB2312" w:eastAsia="仿宋_GB2312" w:cs="仿宋_GB2312"/>
          <w:sz w:val="32"/>
          <w:szCs w:val="22"/>
        </w:rPr>
        <w:t>2</w:t>
      </w:r>
      <w:r>
        <w:rPr>
          <w:rFonts w:ascii="仿宋_GB2312" w:hAnsi="仿宋_GB2312" w:eastAsia="仿宋_GB2312" w:cs="仿宋_GB2312"/>
          <w:sz w:val="32"/>
          <w:szCs w:val="22"/>
          <w:lang w:val="en-US"/>
        </w:rPr>
        <w:t>.5</w:t>
      </w:r>
      <w:r>
        <w:rPr>
          <w:rFonts w:hint="eastAsia" w:ascii="仿宋_GB2312" w:hAnsi="仿宋_GB2312" w:eastAsia="仿宋_GB2312" w:cs="仿宋_GB2312"/>
          <w:sz w:val="32"/>
          <w:szCs w:val="22"/>
          <w:lang w:val="en-US"/>
        </w:rPr>
        <w:t>%</w:t>
      </w:r>
      <w:r>
        <w:rPr>
          <w:rFonts w:ascii="仿宋_GB2312" w:hAnsi="仿宋_GB2312" w:eastAsia="仿宋_GB2312" w:cs="仿宋_GB2312"/>
          <w:sz w:val="32"/>
          <w:szCs w:val="22"/>
        </w:rPr>
        <w:t>以上。建成一批产学研发平台，形成以企业投入为主体、政府投入为引导、社会资本为补充的多元化科技投融资体系。5G通讯、物联网、工业互联网、大数据、人工智能、区块链等新一代信息技术与生产生活深度融合，城市、园区、各类产业智慧化水平整体提高。</w:t>
      </w:r>
    </w:p>
    <w:p w14:paraId="081930E4">
      <w:pPr>
        <w:pStyle w:val="10"/>
        <w:spacing w:line="600" w:lineRule="exact"/>
        <w:ind w:left="0" w:firstLine="643"/>
        <w:rPr>
          <w:rFonts w:ascii="Times New Roman" w:hAnsi="Times New Roman" w:eastAsia="仿宋_GB2312" w:cs="Times New Roman"/>
          <w:sz w:val="32"/>
          <w:szCs w:val="32"/>
        </w:rPr>
      </w:pPr>
      <w:r>
        <w:rPr>
          <w:rStyle w:val="34"/>
          <w:rFonts w:hint="eastAsia" w:ascii="楷体_GB2312" w:hAnsi="楷体_GB2312" w:eastAsia="楷体_GB2312" w:cs="楷体_GB2312"/>
        </w:rPr>
        <w:t>——</w:t>
      </w:r>
      <w:r>
        <w:rPr>
          <w:rStyle w:val="34"/>
          <w:rFonts w:ascii="楷体_GB2312" w:hAnsi="楷体_GB2312" w:eastAsia="楷体_GB2312" w:cs="楷体_GB2312"/>
        </w:rPr>
        <w:t>民生福祉达到新水平。</w:t>
      </w:r>
      <w:r>
        <w:rPr>
          <w:rFonts w:ascii="仿宋_GB2312" w:hAnsi="仿宋_GB2312" w:eastAsia="仿宋_GB2312" w:cs="仿宋_GB2312"/>
          <w:sz w:val="32"/>
          <w:szCs w:val="22"/>
        </w:rPr>
        <w:t>实现更加充分更高质量就业，居民收入与经济增长同步提高，基本公共服务均衡化、优质化水平进一步升级，各民族群众获得感、幸福感显著增强。到2025年，城乡常住居民人均可支配收入年均分别增长</w:t>
      </w:r>
      <w:r>
        <w:rPr>
          <w:rFonts w:ascii="仿宋_GB2312" w:hAnsi="仿宋_GB2312" w:eastAsia="仿宋_GB2312" w:cs="仿宋_GB2312"/>
          <w:sz w:val="32"/>
          <w:szCs w:val="22"/>
          <w:lang w:val="en-US"/>
        </w:rPr>
        <w:t>7.5%</w:t>
      </w:r>
      <w:r>
        <w:rPr>
          <w:rFonts w:ascii="仿宋_GB2312" w:hAnsi="仿宋_GB2312" w:eastAsia="仿宋_GB2312" w:cs="仿宋_GB2312"/>
          <w:sz w:val="32"/>
          <w:szCs w:val="22"/>
        </w:rPr>
        <w:t>和8</w:t>
      </w:r>
      <w:r>
        <w:rPr>
          <w:rFonts w:ascii="仿宋_GB2312" w:hAnsi="仿宋_GB2312" w:eastAsia="仿宋_GB2312" w:cs="仿宋_GB2312"/>
          <w:sz w:val="32"/>
          <w:szCs w:val="22"/>
          <w:lang w:val="en-US"/>
        </w:rPr>
        <w:t>%</w:t>
      </w:r>
      <w:r>
        <w:rPr>
          <w:rFonts w:ascii="仿宋_GB2312" w:hAnsi="仿宋_GB2312" w:eastAsia="仿宋_GB2312" w:cs="仿宋_GB2312"/>
          <w:sz w:val="32"/>
          <w:szCs w:val="22"/>
        </w:rPr>
        <w:t>左右，城镇居民登记失业率控制在</w:t>
      </w:r>
      <w:r>
        <w:rPr>
          <w:rFonts w:ascii="仿宋_GB2312" w:hAnsi="仿宋_GB2312" w:eastAsia="仿宋_GB2312" w:cs="仿宋_GB2312"/>
          <w:sz w:val="32"/>
          <w:szCs w:val="22"/>
          <w:lang w:val="en-US"/>
        </w:rPr>
        <w:t>4.5%</w:t>
      </w:r>
      <w:r>
        <w:rPr>
          <w:rFonts w:ascii="仿宋_GB2312" w:hAnsi="仿宋_GB2312" w:eastAsia="仿宋_GB2312" w:cs="仿宋_GB2312"/>
          <w:sz w:val="32"/>
          <w:szCs w:val="22"/>
        </w:rPr>
        <w:t>以内，每千人医生数达到3.6人，常住人口基本医疗保险参保率达到95</w:t>
      </w:r>
      <w:r>
        <w:rPr>
          <w:rFonts w:ascii="仿宋_GB2312" w:hAnsi="仿宋_GB2312" w:eastAsia="仿宋_GB2312" w:cs="仿宋_GB2312"/>
          <w:sz w:val="32"/>
          <w:szCs w:val="22"/>
          <w:lang w:val="en-US"/>
        </w:rPr>
        <w:t>%</w:t>
      </w:r>
      <w:r>
        <w:rPr>
          <w:rFonts w:ascii="仿宋_GB2312" w:hAnsi="仿宋_GB2312" w:eastAsia="仿宋_GB2312" w:cs="仿宋_GB2312"/>
          <w:sz w:val="32"/>
          <w:szCs w:val="22"/>
        </w:rPr>
        <w:t>，每千老人拥有社会养老床位数40张，每万人拥有公共文化设施和体育场地设施面积分别达到</w:t>
      </w:r>
      <w:r>
        <w:rPr>
          <w:rFonts w:hint="eastAsia" w:ascii="仿宋_GB2312" w:hAnsi="仿宋_GB2312" w:eastAsia="仿宋_GB2312" w:cs="仿宋_GB2312"/>
          <w:sz w:val="32"/>
          <w:szCs w:val="22"/>
        </w:rPr>
        <w:t>0.2万</w:t>
      </w:r>
      <w:r>
        <w:rPr>
          <w:rFonts w:ascii="仿宋_GB2312" w:hAnsi="仿宋_GB2312" w:eastAsia="仿宋_GB2312" w:cs="仿宋_GB2312"/>
          <w:sz w:val="32"/>
          <w:szCs w:val="22"/>
        </w:rPr>
        <w:t>平方米和</w:t>
      </w:r>
      <w:r>
        <w:rPr>
          <w:rFonts w:hint="eastAsia" w:ascii="仿宋_GB2312" w:hAnsi="仿宋_GB2312" w:eastAsia="仿宋_GB2312" w:cs="仿宋_GB2312"/>
          <w:sz w:val="32"/>
          <w:szCs w:val="22"/>
        </w:rPr>
        <w:t>2.7万</w:t>
      </w:r>
      <w:r>
        <w:rPr>
          <w:rFonts w:ascii="仿宋_GB2312" w:hAnsi="仿宋_GB2312" w:eastAsia="仿宋_GB2312" w:cs="仿宋_GB2312"/>
          <w:sz w:val="32"/>
          <w:szCs w:val="22"/>
        </w:rPr>
        <w:t>平方米。</w:t>
      </w:r>
    </w:p>
    <w:p w14:paraId="665D2CD6">
      <w:pPr>
        <w:pStyle w:val="10"/>
        <w:spacing w:line="600" w:lineRule="exact"/>
        <w:ind w:left="0" w:firstLine="643"/>
        <w:rPr>
          <w:rFonts w:ascii="仿宋_GB2312" w:hAnsi="仿宋_GB2312" w:eastAsia="仿宋_GB2312" w:cs="仿宋_GB2312"/>
          <w:sz w:val="32"/>
          <w:szCs w:val="22"/>
        </w:rPr>
      </w:pPr>
      <w:r>
        <w:rPr>
          <w:rStyle w:val="34"/>
          <w:rFonts w:hint="eastAsia" w:ascii="楷体_GB2312" w:hAnsi="楷体_GB2312" w:eastAsia="楷体_GB2312" w:cs="楷体_GB2312"/>
        </w:rPr>
        <w:t>——</w:t>
      </w:r>
      <w:r>
        <w:rPr>
          <w:rStyle w:val="34"/>
          <w:rFonts w:ascii="楷体_GB2312" w:hAnsi="楷体_GB2312" w:eastAsia="楷体_GB2312" w:cs="楷体_GB2312"/>
        </w:rPr>
        <w:t>生态文明建设取得新进步。</w:t>
      </w:r>
      <w:r>
        <w:rPr>
          <w:rFonts w:ascii="仿宋_GB2312" w:hAnsi="仿宋_GB2312" w:eastAsia="仿宋_GB2312" w:cs="仿宋_GB2312"/>
          <w:sz w:val="32"/>
          <w:szCs w:val="22"/>
        </w:rPr>
        <w:t>国土空间开发保护格局得到进一步优化，生产生活方式绿色转型取得显著成效，生态安全屏障更加牢固，资源集约利用水平大幅提高。到2025年，能源消费总量和强度“双控”指标、主要污染物排放指标达到上级要求，完成上级下达任务。全旗森林覆盖率达到29.2%，植被覆盖</w:t>
      </w:r>
      <w:r>
        <w:rPr>
          <w:rFonts w:hint="eastAsia" w:ascii="仿宋_GB2312" w:hAnsi="仿宋_GB2312" w:eastAsia="仿宋_GB2312" w:cs="仿宋_GB2312"/>
          <w:sz w:val="32"/>
          <w:szCs w:val="22"/>
        </w:rPr>
        <w:t>率</w:t>
      </w:r>
      <w:r>
        <w:rPr>
          <w:rFonts w:ascii="仿宋_GB2312" w:hAnsi="仿宋_GB2312" w:eastAsia="仿宋_GB2312" w:cs="仿宋_GB2312"/>
          <w:sz w:val="32"/>
          <w:szCs w:val="22"/>
        </w:rPr>
        <w:t>达到78.8%，人均公共绿地面积</w:t>
      </w:r>
      <w:r>
        <w:rPr>
          <w:rFonts w:hint="eastAsia" w:ascii="仿宋_GB2312" w:hAnsi="仿宋_GB2312" w:eastAsia="仿宋_GB2312" w:cs="仿宋_GB2312"/>
          <w:sz w:val="32"/>
          <w:szCs w:val="22"/>
        </w:rPr>
        <w:t>达到</w:t>
      </w:r>
      <w:r>
        <w:rPr>
          <w:rFonts w:ascii="仿宋_GB2312" w:hAnsi="仿宋_GB2312" w:eastAsia="仿宋_GB2312" w:cs="仿宋_GB2312"/>
          <w:sz w:val="32"/>
          <w:szCs w:val="22"/>
        </w:rPr>
        <w:t>23.5平方米，城市空气质量优良率达到</w:t>
      </w:r>
      <w:r>
        <w:rPr>
          <w:rFonts w:ascii="仿宋_GB2312" w:hAnsi="仿宋_GB2312" w:eastAsia="仿宋_GB2312" w:cs="仿宋_GB2312"/>
          <w:sz w:val="32"/>
          <w:szCs w:val="22"/>
          <w:lang w:val="en-US"/>
        </w:rPr>
        <w:t>85%。</w:t>
      </w:r>
    </w:p>
    <w:p w14:paraId="19D6A8FE">
      <w:pPr>
        <w:pStyle w:val="10"/>
        <w:spacing w:line="600" w:lineRule="exact"/>
        <w:ind w:left="0" w:firstLine="643"/>
        <w:rPr>
          <w:rFonts w:ascii="Times New Roman" w:hAnsi="Times New Roman" w:eastAsia="仿宋_GB2312" w:cs="Times New Roman"/>
          <w:sz w:val="32"/>
          <w:szCs w:val="32"/>
        </w:rPr>
      </w:pPr>
      <w:r>
        <w:rPr>
          <w:rStyle w:val="34"/>
          <w:rFonts w:hint="eastAsia" w:ascii="楷体_GB2312" w:hAnsi="楷体_GB2312" w:eastAsia="楷体_GB2312" w:cs="楷体_GB2312"/>
        </w:rPr>
        <w:t>——</w:t>
      </w:r>
      <w:r>
        <w:rPr>
          <w:rStyle w:val="34"/>
          <w:rFonts w:ascii="楷体_GB2312" w:hAnsi="楷体_GB2312" w:eastAsia="楷体_GB2312" w:cs="楷体_GB2312"/>
        </w:rPr>
        <w:t>社会治理能力得到新提升。</w:t>
      </w:r>
      <w:r>
        <w:rPr>
          <w:rFonts w:ascii="仿宋_GB2312" w:hAnsi="仿宋_GB2312" w:eastAsia="仿宋_GB2312" w:cs="仿宋_GB2312"/>
          <w:sz w:val="32"/>
          <w:szCs w:val="22"/>
        </w:rPr>
        <w:t>社会主义民主法治更加健全，社会公平正义进一步彰显，社会治理特别是基层治理水平明显提高，防范化解重大风险体制机制不断健全，突发公共事件应急能力显著增强，自然灾害防御水平明显提升，发展安全保障更加有力。到2025年，率先完成全市法治建设任务，基层民主选举参选率达到</w:t>
      </w:r>
      <w:r>
        <w:rPr>
          <w:rFonts w:ascii="仿宋_GB2312" w:hAnsi="仿宋_GB2312" w:eastAsia="仿宋_GB2312" w:cs="仿宋_GB2312"/>
          <w:sz w:val="32"/>
          <w:szCs w:val="22"/>
          <w:lang w:val="en-US"/>
        </w:rPr>
        <w:t>90</w:t>
      </w:r>
      <w:r>
        <w:rPr>
          <w:rFonts w:ascii="仿宋_GB2312" w:hAnsi="仿宋_GB2312" w:eastAsia="仿宋_GB2312" w:cs="仿宋_GB2312"/>
          <w:sz w:val="32"/>
          <w:szCs w:val="22"/>
        </w:rPr>
        <w:t>%，信访案件办结率</w:t>
      </w:r>
      <w:r>
        <w:rPr>
          <w:rFonts w:hint="eastAsia" w:ascii="仿宋_GB2312" w:hAnsi="仿宋_GB2312" w:eastAsia="仿宋_GB2312" w:cs="仿宋_GB2312"/>
          <w:sz w:val="32"/>
          <w:szCs w:val="22"/>
        </w:rPr>
        <w:t>保持在</w:t>
      </w:r>
      <w:r>
        <w:rPr>
          <w:rFonts w:ascii="仿宋_GB2312" w:hAnsi="仿宋_GB2312" w:eastAsia="仿宋_GB2312" w:cs="仿宋_GB2312"/>
          <w:sz w:val="32"/>
          <w:szCs w:val="22"/>
        </w:rPr>
        <w:t>100%。</w:t>
      </w:r>
    </w:p>
    <w:p w14:paraId="0C2BAC8C">
      <w:pPr>
        <w:pStyle w:val="10"/>
        <w:spacing w:line="600" w:lineRule="exact"/>
        <w:ind w:left="0" w:firstLine="564"/>
        <w:rPr>
          <w:rFonts w:ascii="仿宋_GB2312" w:hAnsi="仿宋_GB2312" w:eastAsia="仿宋_GB2312" w:cs="仿宋_GB2312"/>
          <w:sz w:val="32"/>
          <w:szCs w:val="22"/>
        </w:rPr>
      </w:pPr>
      <w:r>
        <w:rPr>
          <w:rFonts w:hint="eastAsia" w:ascii="楷体_GB2312" w:hAnsi="楷体_GB2312" w:eastAsia="楷体_GB2312" w:cs="楷体_GB2312"/>
          <w:b/>
          <w:color w:val="000007"/>
          <w:spacing w:val="-12"/>
          <w:w w:val="95"/>
          <w:sz w:val="32"/>
          <w:szCs w:val="32"/>
        </w:rPr>
        <w:t>——营商环境</w:t>
      </w:r>
      <w:r>
        <w:rPr>
          <w:rFonts w:hint="eastAsia" w:ascii="楷体_GB2312" w:hAnsi="楷体_GB2312" w:eastAsia="楷体_GB2312" w:cs="楷体_GB2312"/>
          <w:b/>
          <w:sz w:val="32"/>
          <w:szCs w:val="32"/>
        </w:rPr>
        <w:t>形成新优势</w:t>
      </w:r>
      <w:r>
        <w:rPr>
          <w:rFonts w:hint="eastAsia" w:ascii="楷体_GB2312" w:hAnsi="楷体_GB2312" w:eastAsia="楷体_GB2312" w:cs="楷体_GB2312"/>
          <w:b/>
          <w:color w:val="000007"/>
          <w:spacing w:val="-12"/>
          <w:w w:val="95"/>
          <w:sz w:val="32"/>
          <w:szCs w:val="32"/>
        </w:rPr>
        <w:t>。</w:t>
      </w:r>
      <w:r>
        <w:rPr>
          <w:rFonts w:ascii="仿宋_GB2312" w:hAnsi="仿宋_GB2312" w:eastAsia="仿宋_GB2312" w:cs="仿宋_GB2312"/>
          <w:sz w:val="32"/>
          <w:szCs w:val="22"/>
        </w:rPr>
        <w:t>各领域改革取得决定性成果，高标准市场体系基本建成，公平竞争制度更加健全，资源要素自由流动、高效配置，市场化程度稳步提高，更高水平开放型经济格局基本形成，市场主体更加充满活力。到2025年，全旗行政审批事项全部实现全流程网上办理，审批时限、审批材料进一步精简，企业开办时间办理压缩到1</w:t>
      </w:r>
      <w:r>
        <w:rPr>
          <w:rFonts w:ascii="仿宋_GB2312" w:hAnsi="仿宋_GB2312" w:eastAsia="仿宋_GB2312" w:cs="仿宋_GB2312"/>
          <w:sz w:val="32"/>
          <w:szCs w:val="22"/>
          <w:lang w:val="en-US"/>
        </w:rPr>
        <w:t>天</w:t>
      </w:r>
      <w:r>
        <w:rPr>
          <w:rFonts w:ascii="仿宋_GB2312" w:hAnsi="仿宋_GB2312" w:eastAsia="仿宋_GB2312" w:cs="仿宋_GB2312"/>
          <w:sz w:val="32"/>
          <w:szCs w:val="22"/>
        </w:rPr>
        <w:t>，行政效率和政府公信力显著提升。</w:t>
      </w:r>
    </w:p>
    <w:tbl>
      <w:tblPr>
        <w:tblStyle w:val="23"/>
        <w:tblW w:w="8943" w:type="dxa"/>
        <w:tblInd w:w="0" w:type="dxa"/>
        <w:shd w:val="clear" w:color="auto" w:fill="D8D8D8" w:themeFill="background1" w:themeFillShade="D9"/>
        <w:tblLayout w:type="fixed"/>
        <w:tblCellMar>
          <w:top w:w="0" w:type="dxa"/>
          <w:left w:w="108" w:type="dxa"/>
          <w:bottom w:w="0" w:type="dxa"/>
          <w:right w:w="108" w:type="dxa"/>
        </w:tblCellMar>
      </w:tblPr>
      <w:tblGrid>
        <w:gridCol w:w="713"/>
        <w:gridCol w:w="586"/>
        <w:gridCol w:w="3201"/>
        <w:gridCol w:w="705"/>
        <w:gridCol w:w="850"/>
        <w:gridCol w:w="993"/>
        <w:gridCol w:w="1070"/>
        <w:gridCol w:w="825"/>
      </w:tblGrid>
      <w:tr w14:paraId="5173DE76">
        <w:tblPrEx>
          <w:shd w:val="clear" w:color="auto" w:fill="D8D8D8" w:themeFill="background1" w:themeFillShade="D9"/>
          <w:tblCellMar>
            <w:top w:w="0" w:type="dxa"/>
            <w:left w:w="108" w:type="dxa"/>
            <w:bottom w:w="0" w:type="dxa"/>
            <w:right w:w="108" w:type="dxa"/>
          </w:tblCellMar>
        </w:tblPrEx>
        <w:trPr>
          <w:trHeight w:val="869" w:hRule="atLeast"/>
        </w:trPr>
        <w:tc>
          <w:tcPr>
            <w:tcW w:w="8943" w:type="dxa"/>
            <w:gridSpan w:val="8"/>
            <w:tcBorders>
              <w:top w:val="single" w:color="auto" w:sz="4" w:space="0"/>
              <w:left w:val="single" w:color="auto" w:sz="4" w:space="0"/>
              <w:bottom w:val="single" w:color="auto" w:sz="4" w:space="0"/>
              <w:right w:val="single" w:color="auto" w:sz="4" w:space="0"/>
            </w:tcBorders>
            <w:shd w:val="clear" w:color="auto" w:fill="FDE9D9" w:themeFill="accent6" w:themeFillShade="D9" w:themeFillTint="33"/>
            <w:vAlign w:val="center"/>
          </w:tcPr>
          <w:p w14:paraId="7881B1D0">
            <w:pPr>
              <w:widowControl/>
              <w:autoSpaceDE/>
              <w:autoSpaceDN/>
              <w:spacing w:line="240" w:lineRule="auto"/>
              <w:ind w:firstLine="562"/>
              <w:jc w:val="center"/>
              <w:rPr>
                <w:rFonts w:ascii="Times New Roman" w:hAnsi="Times New Roman" w:eastAsia="仿宋_GB2312" w:cs="Times New Roman"/>
                <w:b/>
                <w:bCs/>
                <w:color w:val="000007"/>
                <w:sz w:val="28"/>
                <w:szCs w:val="28"/>
                <w:lang w:val="en-US" w:bidi="ar-SA"/>
              </w:rPr>
            </w:pPr>
            <w:bookmarkStart w:id="178" w:name="_bookmark31"/>
            <w:bookmarkEnd w:id="178"/>
            <w:bookmarkStart w:id="179" w:name="_bookmark30"/>
            <w:bookmarkEnd w:id="179"/>
            <w:bookmarkStart w:id="180" w:name="第四章_培育现代产业体系_提升经济竞争力"/>
            <w:bookmarkEnd w:id="180"/>
            <w:r>
              <w:rPr>
                <w:rFonts w:ascii="Times New Roman" w:hAnsi="Times New Roman" w:eastAsia="仿宋_GB2312" w:cs="Times New Roman"/>
                <w:b/>
                <w:bCs/>
                <w:color w:val="000007"/>
                <w:sz w:val="28"/>
                <w:szCs w:val="28"/>
                <w:lang w:val="en-US" w:bidi="ar-SA"/>
              </w:rPr>
              <w:t>专栏1： “十四五”达拉特旗经济社会发展主要指标</w:t>
            </w:r>
          </w:p>
        </w:tc>
      </w:tr>
      <w:tr w14:paraId="0D0E09CC">
        <w:tblPrEx>
          <w:tblCellMar>
            <w:top w:w="0" w:type="dxa"/>
            <w:left w:w="108" w:type="dxa"/>
            <w:bottom w:w="0" w:type="dxa"/>
            <w:right w:w="108" w:type="dxa"/>
          </w:tblCellMar>
        </w:tblPrEx>
        <w:trPr>
          <w:trHeight w:val="20" w:hRule="exact"/>
        </w:trPr>
        <w:tc>
          <w:tcPr>
            <w:tcW w:w="713"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639A1B1E">
            <w:pPr>
              <w:widowControl/>
              <w:autoSpaceDE/>
              <w:autoSpaceDN/>
              <w:spacing w:line="360" w:lineRule="auto"/>
              <w:ind w:firstLine="90" w:firstLineChars="50"/>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类型</w:t>
            </w:r>
          </w:p>
        </w:tc>
        <w:tc>
          <w:tcPr>
            <w:tcW w:w="586"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3537EBD0">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序号</w:t>
            </w:r>
          </w:p>
        </w:tc>
        <w:tc>
          <w:tcPr>
            <w:tcW w:w="3201"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33C07E30">
            <w:pPr>
              <w:widowControl/>
              <w:autoSpaceDE/>
              <w:autoSpaceDN/>
              <w:spacing w:line="360" w:lineRule="auto"/>
              <w:ind w:firstLine="361"/>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指标名称</w:t>
            </w:r>
          </w:p>
        </w:tc>
        <w:tc>
          <w:tcPr>
            <w:tcW w:w="705"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3401E195">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单位</w:t>
            </w:r>
          </w:p>
        </w:tc>
        <w:tc>
          <w:tcPr>
            <w:tcW w:w="85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5983AE2F">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2020年</w:t>
            </w:r>
          </w:p>
        </w:tc>
        <w:tc>
          <w:tcPr>
            <w:tcW w:w="2063" w:type="dxa"/>
            <w:gridSpan w:val="2"/>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B87C9">
            <w:pPr>
              <w:widowControl/>
              <w:autoSpaceDE/>
              <w:autoSpaceDN/>
              <w:spacing w:line="360" w:lineRule="auto"/>
              <w:ind w:firstLine="271" w:firstLineChars="15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十四五目标</w:t>
            </w:r>
          </w:p>
        </w:tc>
        <w:tc>
          <w:tcPr>
            <w:tcW w:w="825"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4FFF95B5">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指标 属性</w:t>
            </w:r>
          </w:p>
        </w:tc>
      </w:tr>
      <w:tr w14:paraId="26DE5871">
        <w:tblPrEx>
          <w:tblCellMar>
            <w:top w:w="0" w:type="dxa"/>
            <w:left w:w="108" w:type="dxa"/>
            <w:bottom w:w="0" w:type="dxa"/>
            <w:right w:w="108" w:type="dxa"/>
          </w:tblCellMar>
        </w:tblPrEx>
        <w:trPr>
          <w:trHeight w:val="623"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0145513">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c>
          <w:tcPr>
            <w:tcW w:w="58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D45C03C">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c>
          <w:tcPr>
            <w:tcW w:w="3201"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AFFBDFD">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70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622C1387">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85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2CB242C">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2063" w:type="dxa"/>
            <w:gridSpan w:val="2"/>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C3EEF6">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82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227B495">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r>
      <w:tr w14:paraId="42BD950F">
        <w:tblPrEx>
          <w:tblCellMar>
            <w:top w:w="0" w:type="dxa"/>
            <w:left w:w="108" w:type="dxa"/>
            <w:bottom w:w="0" w:type="dxa"/>
            <w:right w:w="108" w:type="dxa"/>
          </w:tblCellMar>
        </w:tblPrEx>
        <w:trPr>
          <w:trHeight w:val="113"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001C7EA">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c>
          <w:tcPr>
            <w:tcW w:w="58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14262C5">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c>
          <w:tcPr>
            <w:tcW w:w="3201"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EBC4354">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70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4A00FE9">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85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C4329DD">
            <w:pPr>
              <w:widowControl/>
              <w:autoSpaceDE/>
              <w:autoSpaceDN/>
              <w:spacing w:line="360" w:lineRule="auto"/>
              <w:ind w:firstLine="643"/>
              <w:rPr>
                <w:rFonts w:ascii="Times New Roman" w:hAnsi="Times New Roman" w:eastAsia="仿宋_GB2312" w:cs="Times New Roman"/>
                <w:b/>
                <w:bCs/>
                <w:color w:val="000007"/>
                <w:lang w:val="en-US" w:bidi="ar-SA"/>
              </w:rPr>
            </w:pP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0E150CAF">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8"/>
                <w:szCs w:val="18"/>
                <w:lang w:val="en-US" w:bidi="ar-SA"/>
              </w:rPr>
              <w:t>2025年</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2146FFFB">
            <w:pPr>
              <w:widowControl/>
              <w:autoSpaceDE/>
              <w:autoSpaceDN/>
              <w:spacing w:line="360" w:lineRule="auto"/>
              <w:ind w:firstLine="0" w:firstLineChars="0"/>
              <w:jc w:val="center"/>
              <w:rPr>
                <w:rFonts w:ascii="Times New Roman" w:hAnsi="Times New Roman" w:eastAsia="仿宋_GB2312" w:cs="Times New Roman"/>
                <w:b/>
                <w:bCs/>
                <w:color w:val="000007"/>
                <w:sz w:val="18"/>
                <w:szCs w:val="18"/>
                <w:lang w:val="en-US" w:bidi="ar-SA"/>
              </w:rPr>
            </w:pPr>
            <w:r>
              <w:rPr>
                <w:rFonts w:ascii="Times New Roman" w:hAnsi="Times New Roman" w:eastAsia="仿宋_GB2312" w:cs="Times New Roman"/>
                <w:b/>
                <w:bCs/>
                <w:color w:val="000007"/>
                <w:sz w:val="15"/>
                <w:szCs w:val="15"/>
                <w:lang w:val="en-US" w:bidi="ar-SA"/>
              </w:rPr>
              <w:t>年均增速</w:t>
            </w:r>
          </w:p>
        </w:tc>
        <w:tc>
          <w:tcPr>
            <w:tcW w:w="82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033F06C">
            <w:pPr>
              <w:widowControl/>
              <w:autoSpaceDE/>
              <w:autoSpaceDN/>
              <w:spacing w:line="360" w:lineRule="auto"/>
              <w:ind w:firstLine="643"/>
              <w:jc w:val="center"/>
              <w:rPr>
                <w:rFonts w:ascii="Times New Roman" w:hAnsi="Times New Roman" w:eastAsia="仿宋_GB2312" w:cs="Times New Roman"/>
                <w:b/>
                <w:bCs/>
                <w:color w:val="000007"/>
                <w:lang w:val="en-US" w:bidi="ar-SA"/>
              </w:rPr>
            </w:pPr>
          </w:p>
        </w:tc>
      </w:tr>
      <w:tr w14:paraId="1C8DAE54">
        <w:tblPrEx>
          <w:tblCellMar>
            <w:top w:w="0" w:type="dxa"/>
            <w:left w:w="108" w:type="dxa"/>
            <w:bottom w:w="0" w:type="dxa"/>
            <w:right w:w="108" w:type="dxa"/>
          </w:tblCellMar>
        </w:tblPrEx>
        <w:trPr>
          <w:trHeight w:val="376" w:hRule="atLeast"/>
        </w:trPr>
        <w:tc>
          <w:tcPr>
            <w:tcW w:w="713"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4CF9C54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经济</w:t>
            </w:r>
          </w:p>
          <w:p w14:paraId="1138FD4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发展</w:t>
            </w: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61FDDE9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4209B6E1">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地区生产总值增长率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3574C88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0AD9130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-1.9</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477297C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427</w:t>
            </w:r>
            <w:r>
              <w:rPr>
                <w:rFonts w:hint="eastAsia" w:ascii="Times New Roman" w:hAnsi="Times New Roman" w:eastAsia="仿宋_GB2312" w:cs="Times New Roman"/>
                <w:color w:val="000007"/>
                <w:sz w:val="18"/>
                <w:szCs w:val="18"/>
                <w:lang w:val="en-US" w:bidi="ar-SA"/>
              </w:rPr>
              <w:t>亿元</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2D8F8AE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6</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63BBB92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5E5EEC45">
        <w:tblPrEx>
          <w:tblCellMar>
            <w:top w:w="0" w:type="dxa"/>
            <w:left w:w="108" w:type="dxa"/>
            <w:bottom w:w="0" w:type="dxa"/>
            <w:right w:w="108" w:type="dxa"/>
          </w:tblCellMar>
        </w:tblPrEx>
        <w:trPr>
          <w:trHeight w:val="360"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B09EF9C">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02655BE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14853D82">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sz w:val="18"/>
                <w:szCs w:val="18"/>
              </w:rPr>
              <w:t>人均地区生产总值（万元）</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0AECC5F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万元</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095C4A7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hint="eastAsia" w:ascii="Times New Roman" w:hAnsi="Times New Roman" w:eastAsia="仿宋_GB2312" w:cs="Times New Roman"/>
                <w:color w:val="000007"/>
                <w:sz w:val="18"/>
                <w:szCs w:val="18"/>
                <w:lang w:val="en-US" w:bidi="ar-SA"/>
              </w:rPr>
              <w:t>9.5</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0B25DED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hint="eastAsia" w:ascii="Times New Roman" w:hAnsi="Times New Roman" w:eastAsia="仿宋_GB2312" w:cs="Times New Roman"/>
                <w:color w:val="000007"/>
                <w:sz w:val="18"/>
                <w:szCs w:val="18"/>
                <w:lang w:val="en-US" w:bidi="ar-SA"/>
              </w:rPr>
              <w:t>12.1</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4D26E5B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hint="eastAsia" w:ascii="Times New Roman" w:hAnsi="Times New Roman" w:eastAsia="仿宋_GB2312" w:cs="Times New Roman"/>
                <w:color w:val="000007"/>
                <w:sz w:val="18"/>
                <w:szCs w:val="18"/>
                <w:lang w:val="en-US" w:bidi="ar-SA"/>
              </w:rPr>
              <w:t>5</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392BA4B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109CAE8A">
        <w:tblPrEx>
          <w:shd w:val="clear" w:color="auto" w:fill="D8D8D8" w:themeFill="background1" w:themeFillShade="D9"/>
          <w:tblCellMar>
            <w:top w:w="0" w:type="dxa"/>
            <w:left w:w="108" w:type="dxa"/>
            <w:bottom w:w="0" w:type="dxa"/>
            <w:right w:w="108" w:type="dxa"/>
          </w:tblCellMar>
        </w:tblPrEx>
        <w:trPr>
          <w:trHeight w:val="90"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A5E0CE4">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7D6E75F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4EAA1A0C">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常住人口城镇化率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21DFB6E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54171CA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57.37</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3C9F9CF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62</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0BB9187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w:t>
            </w:r>
            <w:r>
              <w:rPr>
                <w:rFonts w:hint="eastAsia" w:ascii="Times New Roman" w:hAnsi="Times New Roman" w:eastAsia="仿宋_GB2312" w:cs="Times New Roman"/>
                <w:color w:val="000007"/>
                <w:sz w:val="18"/>
                <w:szCs w:val="18"/>
                <w:lang w:val="en-US" w:bidi="ar-SA"/>
              </w:rPr>
              <w:t>8</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14BC551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735BE9DB">
        <w:tblPrEx>
          <w:tblCellMar>
            <w:top w:w="0" w:type="dxa"/>
            <w:left w:w="108" w:type="dxa"/>
            <w:bottom w:w="0" w:type="dxa"/>
            <w:right w:w="108" w:type="dxa"/>
          </w:tblCellMar>
        </w:tblPrEx>
        <w:trPr>
          <w:trHeight w:val="576" w:hRule="atLeast"/>
        </w:trPr>
        <w:tc>
          <w:tcPr>
            <w:tcW w:w="713"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3187A67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创新</w:t>
            </w:r>
          </w:p>
          <w:p w14:paraId="305063A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驱动</w:t>
            </w: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3CDDEBD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4</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01B81ABC">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研发（R&amp;D）经费投入占地区生产总值比例</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797CF7C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162F037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0.86</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6AFF4D98">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hint="eastAsia" w:ascii="Times New Roman" w:hAnsi="Times New Roman" w:eastAsia="仿宋_GB2312" w:cs="Times New Roman"/>
                <w:color w:val="000007"/>
                <w:sz w:val="18"/>
                <w:szCs w:val="18"/>
                <w:lang w:val="en-US" w:bidi="ar-SA"/>
              </w:rPr>
              <w:t>2</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4F6F6BA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w:t>
            </w:r>
            <w:r>
              <w:rPr>
                <w:rFonts w:hint="eastAsia" w:ascii="Times New Roman" w:hAnsi="Times New Roman" w:eastAsia="仿宋_GB2312" w:cs="Times New Roman"/>
                <w:color w:val="000007"/>
                <w:sz w:val="18"/>
                <w:szCs w:val="18"/>
                <w:lang w:val="en-US" w:bidi="ar-SA"/>
              </w:rPr>
              <w:t>1</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01DB104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1E33B7D0">
        <w:tblPrEx>
          <w:tblCellMar>
            <w:top w:w="0" w:type="dxa"/>
            <w:left w:w="108" w:type="dxa"/>
            <w:bottom w:w="0" w:type="dxa"/>
            <w:right w:w="108" w:type="dxa"/>
          </w:tblCellMar>
        </w:tblPrEx>
        <w:trPr>
          <w:trHeight w:val="460"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3CAEF45">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77282C2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5</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42310AF8">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每万人</w:t>
            </w:r>
            <w:r>
              <w:rPr>
                <w:rFonts w:hint="eastAsia" w:ascii="Times New Roman" w:hAnsi="Times New Roman" w:eastAsia="仿宋_GB2312" w:cs="Times New Roman"/>
                <w:color w:val="000007"/>
                <w:sz w:val="18"/>
                <w:szCs w:val="18"/>
                <w:lang w:val="en-US" w:bidi="ar-SA"/>
              </w:rPr>
              <w:t>口</w:t>
            </w:r>
            <w:r>
              <w:rPr>
                <w:rFonts w:ascii="Times New Roman" w:hAnsi="Times New Roman" w:eastAsia="仿宋_GB2312" w:cs="Times New Roman"/>
                <w:color w:val="000007"/>
                <w:sz w:val="18"/>
                <w:szCs w:val="18"/>
                <w:lang w:val="en-US" w:bidi="ar-SA"/>
              </w:rPr>
              <w:t>拥有高价值发明专利数</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1162DA9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件</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20D2BBD4">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4E0C782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6C3B482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24.6</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2A74F1D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76F29351">
        <w:tblPrEx>
          <w:tblCellMar>
            <w:top w:w="0" w:type="dxa"/>
            <w:left w:w="108" w:type="dxa"/>
            <w:bottom w:w="0" w:type="dxa"/>
            <w:right w:w="108" w:type="dxa"/>
          </w:tblCellMar>
        </w:tblPrEx>
        <w:trPr>
          <w:trHeight w:val="759"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03140DA">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19BDD8E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6</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4166B00A">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数字经济核心产业增加值占地区生产总值的比例</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14829B0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222BE39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1.3</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03C6A86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1.7</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13CD8ED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w:t>
            </w:r>
            <w:r>
              <w:rPr>
                <w:rFonts w:hint="eastAsia" w:ascii="Times New Roman" w:hAnsi="Times New Roman" w:eastAsia="仿宋_GB2312" w:cs="Times New Roman"/>
                <w:color w:val="000007"/>
                <w:sz w:val="18"/>
                <w:szCs w:val="18"/>
                <w:lang w:val="en-US" w:bidi="ar-SA"/>
              </w:rPr>
              <w:t>1</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08DBC9E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6A39B91B">
        <w:tblPrEx>
          <w:tblCellMar>
            <w:top w:w="0" w:type="dxa"/>
            <w:left w:w="108" w:type="dxa"/>
            <w:bottom w:w="0" w:type="dxa"/>
            <w:right w:w="108" w:type="dxa"/>
          </w:tblCellMar>
        </w:tblPrEx>
        <w:trPr>
          <w:trHeight w:val="621"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534AE90">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3AC2E4F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7</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754C7713">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非煤产业增加值占规上工业增加值比重</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24F63F5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4273DD6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56.5</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3FCA059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67.5</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6A217966">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2.2</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59B9C77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768B1D31">
        <w:tblPrEx>
          <w:tblCellMar>
            <w:top w:w="0" w:type="dxa"/>
            <w:left w:w="108" w:type="dxa"/>
            <w:bottom w:w="0" w:type="dxa"/>
            <w:right w:w="108" w:type="dxa"/>
          </w:tblCellMar>
        </w:tblPrEx>
        <w:trPr>
          <w:trHeight w:val="660" w:hRule="atLeast"/>
        </w:trPr>
        <w:tc>
          <w:tcPr>
            <w:tcW w:w="713"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075468E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民生</w:t>
            </w:r>
          </w:p>
          <w:p w14:paraId="28A25EC6">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福祉</w:t>
            </w: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4E3A167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8</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5A610098">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全体居民人均可支配收入增长率占地区生产总值增长率的比重</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0D673704">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669F19A4">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103.2</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3DE4A0C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105</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6C6B575B">
            <w:pPr>
              <w:widowControl/>
              <w:autoSpaceDE/>
              <w:autoSpaceDN/>
              <w:spacing w:line="360" w:lineRule="auto"/>
              <w:ind w:firstLine="360"/>
              <w:jc w:val="left"/>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278F9246">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0643961F">
        <w:tblPrEx>
          <w:shd w:val="clear" w:color="auto" w:fill="D8D8D8" w:themeFill="background1" w:themeFillShade="D9"/>
          <w:tblCellMar>
            <w:top w:w="0" w:type="dxa"/>
            <w:left w:w="108" w:type="dxa"/>
            <w:bottom w:w="0" w:type="dxa"/>
            <w:right w:w="108" w:type="dxa"/>
          </w:tblCellMar>
        </w:tblPrEx>
        <w:trPr>
          <w:trHeight w:val="368"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8B71A98">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22BBFE3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9</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246F4683">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城镇登记失业率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1C88B7C4">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57460ED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3.32</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2776563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4.5</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0184D2E5">
            <w:pPr>
              <w:widowControl/>
              <w:autoSpaceDE/>
              <w:autoSpaceDN/>
              <w:spacing w:line="360" w:lineRule="auto"/>
              <w:ind w:firstLine="360"/>
              <w:jc w:val="left"/>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28CF8A0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543B1243">
        <w:tblPrEx>
          <w:tblCellMar>
            <w:top w:w="0" w:type="dxa"/>
            <w:left w:w="108" w:type="dxa"/>
            <w:bottom w:w="0" w:type="dxa"/>
            <w:right w:w="108" w:type="dxa"/>
          </w:tblCellMar>
        </w:tblPrEx>
        <w:trPr>
          <w:trHeight w:val="402"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7F39599">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3D8DEDE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10</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1602EA19">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人均预期寿命</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104BF99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年</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5272FF8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76</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1568AE1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77</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397BB6D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0.3</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39DA045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52EB27CB">
        <w:tblPrEx>
          <w:tblCellMar>
            <w:top w:w="0" w:type="dxa"/>
            <w:left w:w="108" w:type="dxa"/>
            <w:bottom w:w="0" w:type="dxa"/>
            <w:right w:w="108" w:type="dxa"/>
          </w:tblCellMar>
        </w:tblPrEx>
        <w:trPr>
          <w:trHeight w:val="436"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09E8DEA">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0D201F2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11</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2ECA3695">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劳动年龄人口平均受教育年限</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0CEB228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年</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501300D6">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11</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52802A0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11.5</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6AA717F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0.9</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0A82657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r w14:paraId="4122CE2C">
        <w:tblPrEx>
          <w:tblCellMar>
            <w:top w:w="0" w:type="dxa"/>
            <w:left w:w="108" w:type="dxa"/>
            <w:bottom w:w="0" w:type="dxa"/>
            <w:right w:w="108" w:type="dxa"/>
          </w:tblCellMar>
        </w:tblPrEx>
        <w:trPr>
          <w:trHeight w:val="563"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CB1C365">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7549D90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12</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384B72B1">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每千人</w:t>
            </w:r>
            <w:r>
              <w:rPr>
                <w:rFonts w:hint="eastAsia" w:ascii="Times New Roman" w:hAnsi="Times New Roman" w:eastAsia="仿宋_GB2312" w:cs="Times New Roman"/>
                <w:color w:val="000007"/>
                <w:sz w:val="18"/>
                <w:szCs w:val="18"/>
                <w:lang w:val="en-US" w:bidi="ar-SA"/>
              </w:rPr>
              <w:t>口</w:t>
            </w:r>
            <w:r>
              <w:rPr>
                <w:rFonts w:ascii="Times New Roman" w:hAnsi="Times New Roman" w:eastAsia="仿宋_GB2312" w:cs="Times New Roman"/>
                <w:color w:val="000007"/>
                <w:sz w:val="18"/>
                <w:szCs w:val="18"/>
                <w:lang w:val="en-US" w:bidi="ar-SA"/>
              </w:rPr>
              <w:t>拥有执业（助理）医师数</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04FB701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人</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0C86051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2.6</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2428FBB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3.6</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4954A20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6.7</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73DC1D2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58EA019E">
        <w:tblPrEx>
          <w:shd w:val="clear" w:color="auto" w:fill="D8D8D8" w:themeFill="background1" w:themeFillShade="D9"/>
          <w:tblCellMar>
            <w:top w:w="0" w:type="dxa"/>
            <w:left w:w="108" w:type="dxa"/>
            <w:bottom w:w="0" w:type="dxa"/>
            <w:right w:w="108" w:type="dxa"/>
          </w:tblCellMar>
        </w:tblPrEx>
        <w:trPr>
          <w:trHeight w:val="386"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4B23B95">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40B1295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13</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05924649">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每千人</w:t>
            </w:r>
            <w:r>
              <w:rPr>
                <w:rFonts w:hint="eastAsia" w:ascii="Times New Roman" w:hAnsi="Times New Roman" w:eastAsia="仿宋_GB2312" w:cs="Times New Roman"/>
                <w:color w:val="000007"/>
                <w:sz w:val="18"/>
                <w:szCs w:val="18"/>
                <w:lang w:val="en-US" w:bidi="ar-SA"/>
              </w:rPr>
              <w:t>口</w:t>
            </w:r>
            <w:r>
              <w:rPr>
                <w:rFonts w:ascii="Times New Roman" w:hAnsi="Times New Roman" w:eastAsia="仿宋_GB2312" w:cs="Times New Roman"/>
                <w:color w:val="000007"/>
                <w:sz w:val="18"/>
                <w:szCs w:val="18"/>
                <w:lang w:val="en-US" w:bidi="ar-SA"/>
              </w:rPr>
              <w:t>拥有三岁以下婴幼儿托位数</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3FD2FC1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个</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2F35936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14EF98A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1.2</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1184748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3.7</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56026D7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7FC14874">
        <w:tblPrEx>
          <w:shd w:val="clear" w:color="auto" w:fill="D8D8D8" w:themeFill="background1" w:themeFillShade="D9"/>
          <w:tblCellMar>
            <w:top w:w="0" w:type="dxa"/>
            <w:left w:w="108" w:type="dxa"/>
            <w:bottom w:w="0" w:type="dxa"/>
            <w:right w:w="108" w:type="dxa"/>
          </w:tblCellMar>
        </w:tblPrEx>
        <w:trPr>
          <w:trHeight w:val="335"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3DB11157">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1664386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14</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239F0AD6">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基本养老保险参保率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4A16D8F8">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31DC0BD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99</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2E9B100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100</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5C3CD2B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0.2</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50D5B11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21AA9171">
        <w:tblPrEx>
          <w:tblCellMar>
            <w:top w:w="0" w:type="dxa"/>
            <w:left w:w="108" w:type="dxa"/>
            <w:bottom w:w="0" w:type="dxa"/>
            <w:right w:w="108" w:type="dxa"/>
          </w:tblCellMar>
        </w:tblPrEx>
        <w:trPr>
          <w:trHeight w:val="575" w:hRule="atLeast"/>
        </w:trPr>
        <w:tc>
          <w:tcPr>
            <w:tcW w:w="713"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79DE47A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绿色</w:t>
            </w:r>
          </w:p>
          <w:p w14:paraId="2085469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生态</w:t>
            </w: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24393484">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15</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013DF9FD">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单位地区生产总值能耗降幅</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6217A07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4E272B43">
            <w:pPr>
              <w:widowControl/>
              <w:autoSpaceDE/>
              <w:autoSpaceDN/>
              <w:spacing w:line="360" w:lineRule="auto"/>
              <w:ind w:firstLine="360"/>
              <w:jc w:val="center"/>
              <w:rPr>
                <w:rFonts w:ascii="Times New Roman" w:hAnsi="Times New Roman" w:eastAsia="仿宋_GB2312" w:cs="Times New Roman"/>
                <w:color w:val="FF0000"/>
                <w:sz w:val="18"/>
                <w:szCs w:val="18"/>
                <w:highlight w:val="yellow"/>
                <w:lang w:val="en-US" w:bidi="ar-SA"/>
              </w:rPr>
            </w:pP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18CEC80C">
            <w:pPr>
              <w:widowControl/>
              <w:autoSpaceDE/>
              <w:autoSpaceDN/>
              <w:spacing w:line="360" w:lineRule="auto"/>
              <w:ind w:firstLine="0" w:firstLineChars="0"/>
              <w:rPr>
                <w:rFonts w:ascii="Times New Roman" w:hAnsi="Times New Roman" w:eastAsia="仿宋_GB2312" w:cs="Times New Roman"/>
                <w:sz w:val="18"/>
                <w:szCs w:val="18"/>
                <w:lang w:val="en-US" w:bidi="ar-SA"/>
              </w:rPr>
            </w:pPr>
            <w:r>
              <w:rPr>
                <w:rFonts w:ascii="Times New Roman" w:hAnsi="Times New Roman" w:eastAsia="仿宋_GB2312" w:cs="Times New Roman"/>
                <w:sz w:val="18"/>
                <w:szCs w:val="18"/>
                <w:lang w:val="en-US" w:bidi="ar-SA"/>
              </w:rPr>
              <w:t>完成上级下达任务</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709A763B">
            <w:pPr>
              <w:widowControl/>
              <w:autoSpaceDE/>
              <w:autoSpaceDN/>
              <w:spacing w:line="360" w:lineRule="auto"/>
              <w:ind w:firstLine="0" w:firstLineChars="0"/>
              <w:rPr>
                <w:rFonts w:ascii="Times New Roman" w:hAnsi="Times New Roman" w:eastAsia="仿宋_GB2312" w:cs="Times New Roman"/>
                <w:sz w:val="18"/>
                <w:szCs w:val="18"/>
                <w:lang w:val="en-US" w:bidi="ar-SA"/>
              </w:rPr>
            </w:pPr>
            <w:r>
              <w:rPr>
                <w:rFonts w:ascii="Times New Roman" w:hAnsi="Times New Roman" w:eastAsia="仿宋_GB2312" w:cs="Times New Roman"/>
                <w:sz w:val="18"/>
                <w:szCs w:val="18"/>
                <w:lang w:val="en-US" w:bidi="ar-SA"/>
              </w:rPr>
              <w:t>完成上级下达任务</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712FD15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60E1318A">
        <w:tblPrEx>
          <w:tblCellMar>
            <w:top w:w="0" w:type="dxa"/>
            <w:left w:w="108" w:type="dxa"/>
            <w:bottom w:w="0" w:type="dxa"/>
            <w:right w:w="108" w:type="dxa"/>
          </w:tblCellMar>
        </w:tblPrEx>
        <w:trPr>
          <w:trHeight w:val="344"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E6A2CFF">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2224A0F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16</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14BE0079">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单位地区生产总值二氧化碳排放降幅</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7AA482A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115874E2">
            <w:pPr>
              <w:widowControl/>
              <w:autoSpaceDE/>
              <w:autoSpaceDN/>
              <w:spacing w:line="360" w:lineRule="auto"/>
              <w:ind w:firstLine="360"/>
              <w:jc w:val="center"/>
              <w:rPr>
                <w:rFonts w:ascii="Times New Roman" w:hAnsi="Times New Roman" w:eastAsia="仿宋_GB2312" w:cs="Times New Roman"/>
                <w:color w:val="FF0000"/>
                <w:sz w:val="18"/>
                <w:szCs w:val="18"/>
                <w:highlight w:val="yellow"/>
                <w:lang w:val="en-US" w:bidi="ar-SA"/>
              </w:rPr>
            </w:pP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6FC25BC7">
            <w:pPr>
              <w:widowControl/>
              <w:autoSpaceDE/>
              <w:autoSpaceDN/>
              <w:spacing w:line="360" w:lineRule="auto"/>
              <w:ind w:firstLine="0" w:firstLineChars="0"/>
              <w:rPr>
                <w:rFonts w:ascii="Times New Roman" w:hAnsi="Times New Roman" w:eastAsia="仿宋_GB2312" w:cs="Times New Roman"/>
                <w:color w:val="FF0000"/>
                <w:sz w:val="18"/>
                <w:szCs w:val="18"/>
                <w:highlight w:val="yellow"/>
                <w:lang w:val="en-US" w:bidi="ar-SA"/>
              </w:rPr>
            </w:pPr>
            <w:r>
              <w:rPr>
                <w:rFonts w:ascii="Times New Roman" w:hAnsi="Times New Roman" w:eastAsia="仿宋_GB2312" w:cs="Times New Roman"/>
                <w:sz w:val="18"/>
                <w:szCs w:val="18"/>
                <w:lang w:val="en-US" w:bidi="ar-SA"/>
              </w:rPr>
              <w:t>完成上级下达任务</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231EC124">
            <w:pPr>
              <w:widowControl/>
              <w:autoSpaceDE/>
              <w:autoSpaceDN/>
              <w:spacing w:line="360" w:lineRule="auto"/>
              <w:ind w:firstLine="0" w:firstLineChars="0"/>
              <w:rPr>
                <w:rFonts w:ascii="Times New Roman" w:hAnsi="Times New Roman" w:eastAsia="仿宋_GB2312" w:cs="Times New Roman"/>
                <w:color w:val="FF0000"/>
                <w:sz w:val="18"/>
                <w:szCs w:val="18"/>
                <w:highlight w:val="yellow"/>
                <w:lang w:val="en-US" w:bidi="ar-SA"/>
              </w:rPr>
            </w:pPr>
            <w:r>
              <w:rPr>
                <w:rFonts w:ascii="Times New Roman" w:hAnsi="Times New Roman" w:eastAsia="仿宋_GB2312" w:cs="Times New Roman"/>
                <w:sz w:val="18"/>
                <w:szCs w:val="18"/>
                <w:lang w:val="en-US" w:bidi="ar-SA"/>
              </w:rPr>
              <w:t>完成上级下达任务</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525B60DE">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2247862D">
        <w:tblPrEx>
          <w:shd w:val="clear" w:color="auto" w:fill="D8D8D8" w:themeFill="background1" w:themeFillShade="D9"/>
          <w:tblCellMar>
            <w:top w:w="0" w:type="dxa"/>
            <w:left w:w="108" w:type="dxa"/>
            <w:bottom w:w="0" w:type="dxa"/>
            <w:right w:w="108" w:type="dxa"/>
          </w:tblCellMar>
        </w:tblPrEx>
        <w:trPr>
          <w:trHeight w:val="285"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F12663E">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100EDC79">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17</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252774B8">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城市空气质量优良率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6AA407F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78C08FD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79.4</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535F8F3C">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85</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7006FACB">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1.4</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25B6764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05FD32CC">
        <w:tblPrEx>
          <w:shd w:val="clear" w:color="auto" w:fill="D8D8D8" w:themeFill="background1" w:themeFillShade="D9"/>
          <w:tblCellMar>
            <w:top w:w="0" w:type="dxa"/>
            <w:left w:w="108" w:type="dxa"/>
            <w:bottom w:w="0" w:type="dxa"/>
            <w:right w:w="108" w:type="dxa"/>
          </w:tblCellMar>
        </w:tblPrEx>
        <w:trPr>
          <w:trHeight w:val="320"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31FC9AB5">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33202E41">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18</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1DB7446B">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境内流域黄河断面水质达到或优于Ⅲ类监控点</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50E33893">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个</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7032386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376A456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3</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5A0BE4F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0.4</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6E171F49">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43CE4551">
        <w:tblPrEx>
          <w:tblCellMar>
            <w:top w:w="0" w:type="dxa"/>
            <w:left w:w="108" w:type="dxa"/>
            <w:bottom w:w="0" w:type="dxa"/>
            <w:right w:w="108" w:type="dxa"/>
          </w:tblCellMar>
        </w:tblPrEx>
        <w:trPr>
          <w:trHeight w:val="283" w:hRule="atLeast"/>
        </w:trPr>
        <w:tc>
          <w:tcPr>
            <w:tcW w:w="713"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D004C25">
            <w:pPr>
              <w:widowControl/>
              <w:autoSpaceDE/>
              <w:autoSpaceDN/>
              <w:spacing w:line="360" w:lineRule="auto"/>
              <w:ind w:firstLine="360"/>
              <w:jc w:val="center"/>
              <w:rPr>
                <w:rFonts w:ascii="Times New Roman" w:hAnsi="Times New Roman" w:eastAsia="仿宋_GB2312" w:cs="Times New Roman"/>
                <w:color w:val="000007"/>
                <w:sz w:val="18"/>
                <w:szCs w:val="18"/>
                <w:lang w:val="en-US" w:bidi="ar-SA"/>
              </w:rPr>
            </w:pP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5D74271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19</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0A7AC3CF">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森林覆盖率</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1472D37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1B559592">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28.9</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0211076F">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29.2</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42507009">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w:t>
            </w:r>
            <w:r>
              <w:rPr>
                <w:rFonts w:hint="eastAsia" w:ascii="Times New Roman" w:hAnsi="Times New Roman" w:eastAsia="仿宋_GB2312" w:cs="Times New Roman"/>
                <w:color w:val="000007"/>
                <w:sz w:val="18"/>
                <w:szCs w:val="18"/>
                <w:lang w:val="en-US" w:bidi="ar-SA"/>
              </w:rPr>
              <w:t>1</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678CA48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约束性</w:t>
            </w:r>
          </w:p>
        </w:tc>
      </w:tr>
      <w:tr w14:paraId="16054FFC">
        <w:tblPrEx>
          <w:tblCellMar>
            <w:top w:w="0" w:type="dxa"/>
            <w:left w:w="108" w:type="dxa"/>
            <w:bottom w:w="0" w:type="dxa"/>
            <w:right w:w="108" w:type="dxa"/>
          </w:tblCellMar>
        </w:tblPrEx>
        <w:trPr>
          <w:trHeight w:val="517" w:hRule="atLeast"/>
        </w:trPr>
        <w:tc>
          <w:tcPr>
            <w:tcW w:w="713" w:type="dxa"/>
            <w:tcBorders>
              <w:top w:val="nil"/>
              <w:left w:val="single" w:color="auto" w:sz="4" w:space="0"/>
              <w:bottom w:val="single" w:color="auto" w:sz="4" w:space="0"/>
              <w:right w:val="single" w:color="auto" w:sz="4" w:space="0"/>
            </w:tcBorders>
            <w:shd w:val="clear" w:color="auto" w:fill="D8D8D8" w:themeFill="background1" w:themeFillShade="D9"/>
            <w:vAlign w:val="center"/>
          </w:tcPr>
          <w:p w14:paraId="02774F18">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安全</w:t>
            </w:r>
          </w:p>
          <w:p w14:paraId="69425329">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保障</w:t>
            </w:r>
          </w:p>
        </w:tc>
        <w:tc>
          <w:tcPr>
            <w:tcW w:w="586" w:type="dxa"/>
            <w:tcBorders>
              <w:top w:val="nil"/>
              <w:left w:val="nil"/>
              <w:bottom w:val="single" w:color="auto" w:sz="4" w:space="0"/>
              <w:right w:val="single" w:color="auto" w:sz="4" w:space="0"/>
            </w:tcBorders>
            <w:shd w:val="clear" w:color="auto" w:fill="D8D8D8" w:themeFill="background1" w:themeFillShade="D9"/>
            <w:vAlign w:val="center"/>
          </w:tcPr>
          <w:p w14:paraId="27363BA0">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20</w:t>
            </w:r>
          </w:p>
        </w:tc>
        <w:tc>
          <w:tcPr>
            <w:tcW w:w="3201" w:type="dxa"/>
            <w:tcBorders>
              <w:top w:val="nil"/>
              <w:left w:val="nil"/>
              <w:bottom w:val="single" w:color="auto" w:sz="4" w:space="0"/>
              <w:right w:val="single" w:color="auto" w:sz="4" w:space="0"/>
            </w:tcBorders>
            <w:shd w:val="clear" w:color="auto" w:fill="D8D8D8" w:themeFill="background1" w:themeFillShade="D9"/>
            <w:vAlign w:val="center"/>
          </w:tcPr>
          <w:p w14:paraId="77E62C2A">
            <w:pPr>
              <w:widowControl/>
              <w:autoSpaceDE/>
              <w:autoSpaceDN/>
              <w:spacing w:line="360" w:lineRule="auto"/>
              <w:ind w:firstLine="0" w:firstLineChars="0"/>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耕地保有量</w:t>
            </w:r>
          </w:p>
        </w:tc>
        <w:tc>
          <w:tcPr>
            <w:tcW w:w="705" w:type="dxa"/>
            <w:tcBorders>
              <w:top w:val="nil"/>
              <w:left w:val="nil"/>
              <w:bottom w:val="single" w:color="auto" w:sz="4" w:space="0"/>
              <w:right w:val="single" w:color="auto" w:sz="4" w:space="0"/>
            </w:tcBorders>
            <w:shd w:val="clear" w:color="auto" w:fill="D8D8D8" w:themeFill="background1" w:themeFillShade="D9"/>
            <w:vAlign w:val="center"/>
          </w:tcPr>
          <w:p w14:paraId="0025E07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万亩</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4E1E1D6A">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226.24</w:t>
            </w:r>
          </w:p>
        </w:tc>
        <w:tc>
          <w:tcPr>
            <w:tcW w:w="993" w:type="dxa"/>
            <w:tcBorders>
              <w:top w:val="nil"/>
              <w:left w:val="nil"/>
              <w:bottom w:val="single" w:color="auto" w:sz="4" w:space="0"/>
              <w:right w:val="single" w:color="auto" w:sz="4" w:space="0"/>
            </w:tcBorders>
            <w:shd w:val="clear" w:color="auto" w:fill="D8D8D8" w:themeFill="background1" w:themeFillShade="D9"/>
            <w:vAlign w:val="center"/>
          </w:tcPr>
          <w:p w14:paraId="2D0F8115">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229</w:t>
            </w:r>
          </w:p>
        </w:tc>
        <w:tc>
          <w:tcPr>
            <w:tcW w:w="1070" w:type="dxa"/>
            <w:tcBorders>
              <w:top w:val="nil"/>
              <w:left w:val="nil"/>
              <w:bottom w:val="single" w:color="auto" w:sz="4" w:space="0"/>
              <w:right w:val="single" w:color="auto" w:sz="4" w:space="0"/>
            </w:tcBorders>
            <w:shd w:val="clear" w:color="auto" w:fill="D8D8D8" w:themeFill="background1" w:themeFillShade="D9"/>
            <w:vAlign w:val="center"/>
          </w:tcPr>
          <w:p w14:paraId="0E86E487">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0.2</w:t>
            </w:r>
          </w:p>
        </w:tc>
        <w:tc>
          <w:tcPr>
            <w:tcW w:w="825" w:type="dxa"/>
            <w:tcBorders>
              <w:top w:val="nil"/>
              <w:left w:val="nil"/>
              <w:bottom w:val="single" w:color="auto" w:sz="4" w:space="0"/>
              <w:right w:val="single" w:color="auto" w:sz="4" w:space="0"/>
            </w:tcBorders>
            <w:shd w:val="clear" w:color="auto" w:fill="D8D8D8" w:themeFill="background1" w:themeFillShade="D9"/>
            <w:vAlign w:val="center"/>
          </w:tcPr>
          <w:p w14:paraId="02001B6D">
            <w:pPr>
              <w:widowControl/>
              <w:autoSpaceDE/>
              <w:autoSpaceDN/>
              <w:spacing w:line="360" w:lineRule="auto"/>
              <w:ind w:firstLine="0" w:firstLineChars="0"/>
              <w:jc w:val="center"/>
              <w:rPr>
                <w:rFonts w:ascii="Times New Roman" w:hAnsi="Times New Roman" w:eastAsia="仿宋_GB2312" w:cs="Times New Roman"/>
                <w:color w:val="000007"/>
                <w:sz w:val="18"/>
                <w:szCs w:val="18"/>
                <w:lang w:val="en-US" w:bidi="ar-SA"/>
              </w:rPr>
            </w:pPr>
            <w:r>
              <w:rPr>
                <w:rFonts w:ascii="Times New Roman" w:hAnsi="Times New Roman" w:eastAsia="仿宋_GB2312" w:cs="Times New Roman"/>
                <w:color w:val="000007"/>
                <w:sz w:val="18"/>
                <w:szCs w:val="18"/>
                <w:lang w:val="en-US" w:bidi="ar-SA"/>
              </w:rPr>
              <w:t>预期性</w:t>
            </w:r>
          </w:p>
        </w:tc>
      </w:tr>
    </w:tbl>
    <w:p w14:paraId="1639176D">
      <w:pPr>
        <w:spacing w:line="600" w:lineRule="exact"/>
        <w:ind w:firstLine="643"/>
        <w:rPr>
          <w:rFonts w:ascii="Times New Roman" w:hAnsi="Times New Roman" w:eastAsia="黑体" w:cs="Times New Roman"/>
          <w:b/>
          <w:szCs w:val="32"/>
          <w:shd w:val="clear" w:color="auto" w:fill="FFFFFF"/>
          <w:lang w:val="en-US"/>
        </w:rPr>
      </w:pPr>
      <w:r>
        <w:rPr>
          <w:rStyle w:val="34"/>
          <w:rFonts w:hint="eastAsia" w:ascii="楷体_GB2312" w:hAnsi="楷体_GB2312" w:eastAsia="楷体_GB2312" w:cs="楷体_GB2312"/>
          <w:lang w:val="en-US"/>
        </w:rPr>
        <w:t>远景目标：</w:t>
      </w:r>
      <w:r>
        <w:rPr>
          <w:rFonts w:hint="eastAsia" w:ascii="仿宋_GB2312" w:hAnsi="仿宋_GB2312" w:eastAsia="仿宋_GB2312" w:cs="仿宋_GB2312"/>
        </w:rPr>
        <w:t>展望2035年，我旗将与全国一道基本实现社会主义现代化。全旗经济实力、科技实力大幅跃升，经济高质量发展和城乡居民收入迈上新台阶，基本实现新型工业化、信息化、城镇化、农牧业现代化，建成现代化经济体系；治理体系和治理能力现代化基本实现，法治达拉特基本建成，平安达拉特建设达到更高水平；社会事业全面进步，建成文化强旗、教育强旗、人才强旗、体育强旗、健康达拉特，城市文明程度和民族团结进步达到新高度；广泛形成绿色生产生活方式，美丽达拉特基本建成；基本公共服务实现均等化，城乡区域发展差距和居民生活水平差距显著缩小，人的全面发展、人民共同富裕取得更为明显的实质性进展。</w:t>
      </w:r>
      <w:bookmarkStart w:id="181" w:name="_Toc23102"/>
      <w:bookmarkStart w:id="182" w:name="_Toc1359459757"/>
    </w:p>
    <w:p w14:paraId="6044A344">
      <w:pPr>
        <w:spacing w:line="600" w:lineRule="exact"/>
        <w:ind w:firstLine="0" w:firstLineChars="0"/>
        <w:jc w:val="center"/>
        <w:outlineLvl w:val="1"/>
        <w:rPr>
          <w:rFonts w:ascii="Times New Roman" w:hAnsi="Times New Roman" w:eastAsia="黑体" w:cs="Times New Roman"/>
          <w:b/>
          <w:szCs w:val="32"/>
          <w:shd w:val="clear" w:color="auto" w:fill="FFFFFF"/>
          <w:lang w:val="en-US"/>
        </w:rPr>
      </w:pPr>
      <w:bookmarkStart w:id="183" w:name="_Toc4721"/>
      <w:r>
        <w:rPr>
          <w:rFonts w:ascii="Times New Roman" w:hAnsi="Times New Roman" w:eastAsia="黑体" w:cs="Times New Roman"/>
          <w:b/>
          <w:szCs w:val="32"/>
          <w:shd w:val="clear" w:color="auto" w:fill="FFFFFF"/>
          <w:lang w:val="en-US"/>
        </w:rPr>
        <w:t>第四章  加快发展现代产业体系</w:t>
      </w:r>
      <w:r>
        <w:rPr>
          <w:rFonts w:hint="eastAsia" w:ascii="Times New Roman" w:hAnsi="Times New Roman" w:eastAsia="黑体" w:cs="Times New Roman"/>
          <w:b/>
          <w:szCs w:val="32"/>
          <w:shd w:val="clear" w:color="auto" w:fill="FFFFFF"/>
          <w:lang w:val="en-US"/>
        </w:rPr>
        <w:t>，</w:t>
      </w:r>
      <w:r>
        <w:rPr>
          <w:rFonts w:ascii="Times New Roman" w:hAnsi="Times New Roman" w:eastAsia="黑体" w:cs="Times New Roman"/>
          <w:b/>
          <w:szCs w:val="32"/>
          <w:shd w:val="clear" w:color="auto" w:fill="FFFFFF"/>
          <w:lang w:val="en-US"/>
        </w:rPr>
        <w:t>提升综合经济实力</w:t>
      </w:r>
      <w:bookmarkEnd w:id="181"/>
      <w:bookmarkEnd w:id="182"/>
      <w:bookmarkEnd w:id="183"/>
    </w:p>
    <w:p w14:paraId="251D17DF">
      <w:pPr>
        <w:pStyle w:val="10"/>
        <w:spacing w:line="600" w:lineRule="exact"/>
        <w:ind w:left="0" w:firstLine="640"/>
        <w:rPr>
          <w:rFonts w:ascii="Times New Roman" w:hAnsi="Times New Roman" w:eastAsia="仿宋_GB2312" w:cs="Times New Roman"/>
          <w:sz w:val="32"/>
          <w:szCs w:val="32"/>
        </w:rPr>
      </w:pPr>
      <w:r>
        <w:rPr>
          <w:rFonts w:ascii="仿宋_GB2312" w:hAnsi="仿宋_GB2312" w:eastAsia="仿宋_GB2312" w:cs="仿宋_GB2312"/>
          <w:sz w:val="32"/>
          <w:szCs w:val="22"/>
        </w:rPr>
        <w:t>坚持把发展经济的着力点放在实体经济上，坚定不移推进制造强旗、质量强旗、品牌强旗、网络强旗、数字达拉特建设，推进一二三次产业基础高级化、产业链现代化，着力打造黄河流域生态保护和高质量发展先行旗。</w:t>
      </w:r>
    </w:p>
    <w:p w14:paraId="4FDCA51B">
      <w:pPr>
        <w:pStyle w:val="4"/>
        <w:spacing w:line="600" w:lineRule="exact"/>
        <w:rPr>
          <w:rFonts w:ascii="楷体_GB2312" w:hAnsi="楷体_GB2312" w:eastAsia="楷体_GB2312" w:cs="楷体_GB2312"/>
        </w:rPr>
      </w:pPr>
      <w:bookmarkStart w:id="184" w:name="_Toc12993"/>
      <w:bookmarkStart w:id="185" w:name="_Toc1361615466"/>
      <w:bookmarkStart w:id="186" w:name="_Toc4781"/>
      <w:r>
        <w:rPr>
          <w:rFonts w:hint="eastAsia" w:ascii="楷体_GB2312" w:hAnsi="楷体_GB2312" w:eastAsia="楷体_GB2312" w:cs="楷体_GB2312"/>
        </w:rPr>
        <w:t>第一节 实施大农业革命，大力提升农牧业核心竞争力</w:t>
      </w:r>
      <w:bookmarkEnd w:id="184"/>
      <w:bookmarkEnd w:id="185"/>
      <w:bookmarkEnd w:id="186"/>
    </w:p>
    <w:p w14:paraId="7C176ECD">
      <w:pPr>
        <w:pStyle w:val="10"/>
        <w:spacing w:line="600" w:lineRule="exact"/>
        <w:ind w:left="0" w:firstLine="640"/>
        <w:rPr>
          <w:rFonts w:ascii="仿宋_GB2312" w:hAnsi="仿宋_GB2312" w:eastAsia="仿宋_GB2312" w:cs="仿宋_GB2312"/>
          <w:sz w:val="32"/>
          <w:szCs w:val="22"/>
        </w:rPr>
      </w:pPr>
      <w:r>
        <w:rPr>
          <w:rFonts w:ascii="仿宋_GB2312" w:hAnsi="仿宋_GB2312" w:eastAsia="仿宋_GB2312" w:cs="仿宋_GB2312"/>
          <w:sz w:val="32"/>
          <w:szCs w:val="22"/>
        </w:rPr>
        <w:t>整合提升沿河耕地资源要素，优化农牧业空间布局，推进农牧业产业规模化、产品特色化、生产标准化、服务社会化“四化协同”发展，做大做强优质粮油、现代畜牧、绿色蔬菜、生态饲草、精品特色和观光渔业六大</w:t>
      </w:r>
      <w:r>
        <w:rPr>
          <w:rFonts w:ascii="仿宋_GB2312" w:hAnsi="仿宋_GB2312" w:eastAsia="仿宋_GB2312" w:cs="仿宋_GB2312"/>
          <w:sz w:val="32"/>
          <w:szCs w:val="22"/>
          <w:lang w:val="en-US"/>
        </w:rPr>
        <w:t>优势</w:t>
      </w:r>
      <w:r>
        <w:rPr>
          <w:rFonts w:ascii="仿宋_GB2312" w:hAnsi="仿宋_GB2312" w:eastAsia="仿宋_GB2312" w:cs="仿宋_GB2312"/>
          <w:sz w:val="32"/>
          <w:szCs w:val="22"/>
        </w:rPr>
        <w:t>产业，构筑“一线一带两区八园”现代农牧业产业格局，建设“黄河几字</w:t>
      </w:r>
      <w:r>
        <w:rPr>
          <w:rFonts w:hint="eastAsia" w:ascii="仿宋_GB2312" w:hAnsi="仿宋_GB2312" w:eastAsia="仿宋_GB2312" w:cs="仿宋_GB2312"/>
          <w:sz w:val="32"/>
          <w:szCs w:val="22"/>
        </w:rPr>
        <w:t>弯</w:t>
      </w:r>
      <w:r>
        <w:rPr>
          <w:rFonts w:ascii="仿宋_GB2312" w:hAnsi="仿宋_GB2312" w:eastAsia="仿宋_GB2312" w:cs="仿宋_GB2312"/>
          <w:sz w:val="32"/>
          <w:szCs w:val="22"/>
        </w:rPr>
        <w:t>”优质农畜产品生产加工输出区。</w:t>
      </w:r>
    </w:p>
    <w:p w14:paraId="3B545F1F">
      <w:pPr>
        <w:pStyle w:val="10"/>
        <w:spacing w:line="600" w:lineRule="exact"/>
        <w:ind w:left="0" w:right="57" w:firstLine="591"/>
        <w:rPr>
          <w:rFonts w:ascii="仿宋_GB2312" w:hAnsi="仿宋_GB2312" w:eastAsia="仿宋_GB2312" w:cs="仿宋_GB2312"/>
          <w:sz w:val="32"/>
          <w:szCs w:val="22"/>
        </w:rPr>
      </w:pPr>
      <w:r>
        <w:rPr>
          <w:rFonts w:hint="eastAsia" w:ascii="楷体_GB2312" w:hAnsi="楷体_GB2312" w:eastAsia="楷体_GB2312" w:cs="楷体_GB2312"/>
          <w:b/>
          <w:color w:val="000007"/>
          <w:spacing w:val="-13"/>
          <w:sz w:val="32"/>
          <w:szCs w:val="32"/>
        </w:rPr>
        <w:t>全面夯实农牧业</w:t>
      </w:r>
      <w:r>
        <w:rPr>
          <w:rFonts w:hint="eastAsia" w:ascii="楷体_GB2312" w:hAnsi="楷体_GB2312" w:eastAsia="楷体_GB2312" w:cs="楷体_GB2312"/>
          <w:b/>
          <w:color w:val="000007"/>
          <w:spacing w:val="-13"/>
          <w:sz w:val="32"/>
          <w:szCs w:val="32"/>
          <w:lang w:val="en-US"/>
        </w:rPr>
        <w:t>发展</w:t>
      </w:r>
      <w:r>
        <w:rPr>
          <w:rFonts w:hint="eastAsia" w:ascii="楷体_GB2312" w:hAnsi="楷体_GB2312" w:eastAsia="楷体_GB2312" w:cs="楷体_GB2312"/>
          <w:b/>
          <w:color w:val="000007"/>
          <w:spacing w:val="-13"/>
          <w:sz w:val="32"/>
          <w:szCs w:val="32"/>
        </w:rPr>
        <w:t>基础。</w:t>
      </w:r>
      <w:r>
        <w:rPr>
          <w:rFonts w:ascii="仿宋_GB2312" w:hAnsi="仿宋_GB2312" w:eastAsia="仿宋_GB2312" w:cs="仿宋_GB2312"/>
          <w:sz w:val="32"/>
          <w:szCs w:val="22"/>
        </w:rPr>
        <w:t>把保护耕地作为农牧业可持续发展的基础和前提，落实农用地“三权分置”改革，加快转变农牧业生产方式、组织方式、经营方式，促进农牧业发展机械化、设施化、企业化、标准化、订单化、专业化、适度规模化。聚焦国家粮食安全战略，严守耕地保有量红线，深入实施藏粮于地、藏粮于技战略，巩固全国产粮大县地位；加强种质资源保护和利用，推进“种子工程”、“优质粮食工程”建设，完善粮食利益补偿机制，提升粮食收储调控能力；开展节粮行动，推广应用节粮减损提质增效、现代粮仓和物流配套新技术，加强智慧粮库建设。加快推进农牧业基础设施改造提升，</w:t>
      </w:r>
      <w:r>
        <w:rPr>
          <w:rFonts w:ascii="仿宋_GB2312" w:hAnsi="仿宋_GB2312" w:eastAsia="仿宋_GB2312" w:cs="仿宋_GB2312"/>
          <w:sz w:val="32"/>
          <w:szCs w:val="22"/>
          <w:lang w:val="en-US"/>
        </w:rPr>
        <w:t>实施以耕地质量提升为导向、以增产增收为目标的耕地改良工程，全域推广黄土地土壤改良“黄变黑”达拉特模式，加强高标准吨粮田、超吨粮田建设，</w:t>
      </w:r>
      <w:r>
        <w:rPr>
          <w:rFonts w:ascii="仿宋_GB2312" w:hAnsi="仿宋_GB2312" w:eastAsia="仿宋_GB2312" w:cs="仿宋_GB2312"/>
          <w:sz w:val="32"/>
          <w:szCs w:val="22"/>
        </w:rPr>
        <w:t>高标准农田面积实现全覆盖，盐碱地改良面积达到20万亩以上</w:t>
      </w:r>
      <w:r>
        <w:rPr>
          <w:rFonts w:ascii="仿宋_GB2312" w:hAnsi="仿宋_GB2312" w:eastAsia="仿宋_GB2312" w:cs="仿宋_GB2312"/>
          <w:sz w:val="32"/>
          <w:szCs w:val="22"/>
          <w:lang w:val="en-US"/>
        </w:rPr>
        <w:t>。</w:t>
      </w:r>
      <w:r>
        <w:rPr>
          <w:rFonts w:ascii="仿宋_GB2312" w:hAnsi="仿宋_GB2312" w:eastAsia="仿宋_GB2312" w:cs="仿宋_GB2312"/>
          <w:sz w:val="32"/>
          <w:szCs w:val="22"/>
        </w:rPr>
        <w:t>按照“稳粮优经扩饲”思路，优化种养殖业结构，打造“粮油饲、乳肉绒、薯果蔬、林草沙”等多样化、专业化、精品化高质量产业集群。完善农村牧区物流体系和产销体系，提高农畜产品交易综合服务能力，新建和改造升级农畜产品综合交易市场8个；创新电商销售模式，完善旗、镇、村多级联运网络，畅通农畜产品集散分销渠道，建设农畜产品物流配送点80个、农超和会员宅配等产销对接新业态店130个。健全农机社会化服务体系，提升闲置农业机具利用率，发展农机服务组织80个、农机化示范园区10个，农业综合机械化水平达到98.5%。推动租赁托管、联耕联种、代耕代种、众筹合作等多种形式的互助共享经济，土地托管面积达到30万亩，集中规模经营面积达到150万亩。</w:t>
      </w:r>
    </w:p>
    <w:p w14:paraId="5EF10F3A">
      <w:pPr>
        <w:pStyle w:val="10"/>
        <w:spacing w:line="600" w:lineRule="exact"/>
        <w:ind w:left="0" w:right="57" w:firstLine="563"/>
        <w:rPr>
          <w:rFonts w:ascii="Times New Roman" w:hAnsi="Times New Roman" w:eastAsia="仿宋_GB2312" w:cs="Times New Roman"/>
          <w:spacing w:val="-9"/>
          <w:sz w:val="32"/>
          <w:szCs w:val="32"/>
        </w:rPr>
      </w:pPr>
      <w:r>
        <w:rPr>
          <w:rFonts w:hint="eastAsia" w:ascii="楷体_GB2312" w:hAnsi="楷体_GB2312" w:eastAsia="楷体_GB2312" w:cs="楷体_GB2312"/>
          <w:b/>
          <w:color w:val="000007"/>
          <w:spacing w:val="-20"/>
          <w:sz w:val="32"/>
          <w:szCs w:val="32"/>
        </w:rPr>
        <w:t>大力推进农牧业多元融合发展。</w:t>
      </w:r>
      <w:r>
        <w:rPr>
          <w:rFonts w:hint="eastAsia" w:ascii="仿宋_GB2312" w:hAnsi="仿宋_GB2312" w:eastAsia="仿宋_GB2312" w:cs="仿宋_GB2312"/>
          <w:sz w:val="32"/>
          <w:szCs w:val="32"/>
        </w:rPr>
        <w:t>推动农牧业供给侧结构性改革，优化农牧业生产结构和区域布局，加强主体功能区建设。促进粮、经、饲三元种植结构协调发展，全旗农作物总播面积保持在270万亩左右，粮食产量稳定在15亿斤以上，粮经饲比例调整为50:20:30。加快规模养殖业发展，</w:t>
      </w:r>
      <w:r>
        <w:rPr>
          <w:rFonts w:hint="eastAsia" w:ascii="仿宋_GB2312" w:hAnsi="仿宋_GB2312" w:eastAsia="仿宋_GB2312" w:cs="仿宋_GB2312"/>
          <w:bCs/>
          <w:sz w:val="32"/>
          <w:szCs w:val="32"/>
        </w:rPr>
        <w:t>引进</w:t>
      </w:r>
      <w:r>
        <w:rPr>
          <w:rFonts w:hint="eastAsia" w:ascii="仿宋_GB2312" w:hAnsi="仿宋_GB2312" w:eastAsia="仿宋_GB2312" w:cs="仿宋_GB2312"/>
          <w:sz w:val="32"/>
          <w:szCs w:val="32"/>
        </w:rPr>
        <w:t>蒙牛、伊利、</w:t>
      </w:r>
      <w:r>
        <w:rPr>
          <w:rFonts w:hint="eastAsia" w:ascii="仿宋_GB2312" w:hAnsi="仿宋_GB2312" w:eastAsia="仿宋_GB2312" w:cs="仿宋_GB2312"/>
          <w:bCs/>
          <w:sz w:val="32"/>
          <w:szCs w:val="32"/>
        </w:rPr>
        <w:t>东方希望等涉农龙头企业，大力实施生猪产能恢复、</w:t>
      </w:r>
      <w:r>
        <w:rPr>
          <w:rFonts w:hint="eastAsia" w:ascii="仿宋_GB2312" w:hAnsi="仿宋_GB2312" w:eastAsia="仿宋_GB2312" w:cs="仿宋_GB2312"/>
          <w:sz w:val="32"/>
          <w:szCs w:val="32"/>
        </w:rPr>
        <w:t>奶业振兴、肉牛标准化养殖、肉羊全产业链加工等</w:t>
      </w:r>
      <w:r>
        <w:rPr>
          <w:rFonts w:hint="eastAsia" w:ascii="仿宋_GB2312" w:hAnsi="仿宋_GB2312" w:eastAsia="仿宋_GB2312" w:cs="仿宋_GB2312"/>
          <w:bCs/>
          <w:sz w:val="32"/>
          <w:szCs w:val="32"/>
        </w:rPr>
        <w:t>工程，力争</w:t>
      </w:r>
      <w:r>
        <w:rPr>
          <w:rFonts w:hint="eastAsia" w:ascii="仿宋_GB2312" w:hAnsi="仿宋_GB2312" w:eastAsia="仿宋_GB2312" w:cs="仿宋_GB2312"/>
          <w:sz w:val="32"/>
          <w:szCs w:val="32"/>
        </w:rPr>
        <w:t>生猪、奶牛、肉牛、肉羊存栏达到150万口、20万头、10万头和300万只以上，建成自治区有机奶源供应基地和优质乳肉生产基地。</w:t>
      </w:r>
      <w:r>
        <w:rPr>
          <w:rFonts w:hint="eastAsia" w:ascii="仿宋_GB2312" w:hAnsi="仿宋_GB2312" w:eastAsia="仿宋_GB2312" w:cs="仿宋_GB2312"/>
          <w:spacing w:val="-8"/>
          <w:sz w:val="32"/>
          <w:szCs w:val="32"/>
        </w:rPr>
        <w:t>增强粮食就地转化能力，支持玉米精深加工，开发传统米面、马铃薯以及杂粮、鲜食玉米等多元化主食产品和休闲食品，农畜产品加工转化率提高到</w:t>
      </w:r>
      <w:r>
        <w:rPr>
          <w:rFonts w:hint="eastAsia" w:ascii="仿宋_GB2312" w:hAnsi="仿宋_GB2312" w:eastAsia="仿宋_GB2312" w:cs="仿宋_GB2312"/>
          <w:spacing w:val="-8"/>
          <w:sz w:val="32"/>
          <w:szCs w:val="32"/>
          <w:lang w:val="en-US"/>
        </w:rPr>
        <w:t>60%以上。</w:t>
      </w:r>
      <w:r>
        <w:rPr>
          <w:rFonts w:hint="eastAsia" w:ascii="仿宋_GB2312" w:hAnsi="仿宋_GB2312" w:eastAsia="仿宋_GB2312" w:cs="仿宋_GB2312"/>
          <w:spacing w:val="-8"/>
          <w:sz w:val="32"/>
          <w:szCs w:val="32"/>
        </w:rPr>
        <w:t>大力发展乳肉、羊绒、蔬菜等农畜产品初加工、精深</w:t>
      </w:r>
      <w:r>
        <w:rPr>
          <w:rFonts w:hint="eastAsia" w:ascii="仿宋_GB2312" w:hAnsi="仿宋_GB2312" w:eastAsia="仿宋_GB2312" w:cs="仿宋_GB2312"/>
          <w:color w:val="000007"/>
          <w:spacing w:val="-8"/>
          <w:sz w:val="32"/>
          <w:szCs w:val="32"/>
        </w:rPr>
        <w:t>加工业，延伸农畜产品加工产业链条，促进“</w:t>
      </w:r>
      <w:r>
        <w:rPr>
          <w:rFonts w:hint="eastAsia" w:ascii="仿宋_GB2312" w:hAnsi="仿宋_GB2312" w:eastAsia="仿宋_GB2312" w:cs="仿宋_GB2312"/>
          <w:spacing w:val="-8"/>
          <w:sz w:val="32"/>
          <w:szCs w:val="32"/>
        </w:rPr>
        <w:t>种、养、加</w:t>
      </w:r>
      <w:r>
        <w:rPr>
          <w:rFonts w:hint="eastAsia" w:ascii="仿宋_GB2312" w:hAnsi="仿宋_GB2312" w:eastAsia="仿宋_GB2312" w:cs="仿宋_GB2312"/>
          <w:color w:val="000007"/>
          <w:spacing w:val="-8"/>
          <w:sz w:val="32"/>
          <w:szCs w:val="32"/>
        </w:rPr>
        <w:t>”</w:t>
      </w:r>
      <w:r>
        <w:rPr>
          <w:rFonts w:hint="eastAsia" w:ascii="仿宋_GB2312" w:hAnsi="仿宋_GB2312" w:eastAsia="仿宋_GB2312" w:cs="仿宋_GB2312"/>
          <w:color w:val="000007"/>
          <w:spacing w:val="-9"/>
          <w:sz w:val="32"/>
          <w:szCs w:val="32"/>
        </w:rPr>
        <w:t>全流程深度产业化</w:t>
      </w:r>
      <w:r>
        <w:rPr>
          <w:rFonts w:hint="eastAsia" w:ascii="仿宋_GB2312" w:hAnsi="仿宋_GB2312" w:eastAsia="仿宋_GB2312" w:cs="仿宋_GB2312"/>
          <w:spacing w:val="-8"/>
          <w:sz w:val="32"/>
          <w:szCs w:val="32"/>
        </w:rPr>
        <w:t>，</w:t>
      </w:r>
      <w:r>
        <w:rPr>
          <w:rFonts w:hint="eastAsia" w:ascii="仿宋_GB2312" w:hAnsi="仿宋_GB2312" w:eastAsia="仿宋_GB2312" w:cs="仿宋_GB2312"/>
          <w:color w:val="000007"/>
          <w:spacing w:val="-8"/>
          <w:sz w:val="32"/>
          <w:szCs w:val="32"/>
        </w:rPr>
        <w:t>提高农牧业</w:t>
      </w:r>
      <w:r>
        <w:rPr>
          <w:rFonts w:hint="eastAsia" w:ascii="仿宋_GB2312" w:hAnsi="仿宋_GB2312" w:eastAsia="仿宋_GB2312" w:cs="仿宋_GB2312"/>
          <w:spacing w:val="-3"/>
          <w:sz w:val="32"/>
          <w:szCs w:val="32"/>
        </w:rPr>
        <w:t>全产业链融合发展水平，</w:t>
      </w:r>
      <w:r>
        <w:rPr>
          <w:rFonts w:hint="eastAsia" w:ascii="仿宋_GB2312" w:hAnsi="仿宋_GB2312" w:eastAsia="仿宋_GB2312" w:cs="仿宋_GB2312"/>
          <w:color w:val="000007"/>
          <w:spacing w:val="-8"/>
          <w:sz w:val="32"/>
          <w:szCs w:val="32"/>
        </w:rPr>
        <w:t>新建</w:t>
      </w:r>
      <w:r>
        <w:rPr>
          <w:rFonts w:hint="eastAsia" w:ascii="仿宋_GB2312" w:hAnsi="仿宋_GB2312" w:eastAsia="仿宋_GB2312" w:cs="仿宋_GB2312"/>
          <w:color w:val="000007"/>
          <w:spacing w:val="-3"/>
          <w:sz w:val="32"/>
          <w:szCs w:val="32"/>
        </w:rPr>
        <w:t>粮食加工厂2处、农畜产品加工园区1处、特色农牧业示范区5个，农畜产品加工产值与农牧业总产值比达到1.8:1</w:t>
      </w:r>
      <w:r>
        <w:rPr>
          <w:rFonts w:hint="eastAsia" w:ascii="仿宋_GB2312" w:hAnsi="仿宋_GB2312" w:eastAsia="仿宋_GB2312" w:cs="仿宋_GB2312"/>
          <w:spacing w:val="-8"/>
          <w:sz w:val="32"/>
          <w:szCs w:val="32"/>
        </w:rPr>
        <w:t>。</w:t>
      </w:r>
      <w:r>
        <w:rPr>
          <w:rFonts w:hint="eastAsia" w:ascii="仿宋_GB2312" w:hAnsi="仿宋_GB2312" w:eastAsia="仿宋_GB2312" w:cs="仿宋_GB2312"/>
          <w:color w:val="000007"/>
          <w:spacing w:val="-3"/>
          <w:sz w:val="32"/>
          <w:szCs w:val="32"/>
        </w:rPr>
        <w:t>发展特色精品农业，推动</w:t>
      </w:r>
      <w:r>
        <w:rPr>
          <w:rFonts w:hint="eastAsia" w:ascii="仿宋_GB2312" w:hAnsi="仿宋_GB2312" w:eastAsia="仿宋_GB2312" w:cs="仿宋_GB2312"/>
          <w:color w:val="000007"/>
          <w:spacing w:val="-11"/>
          <w:sz w:val="32"/>
          <w:szCs w:val="32"/>
        </w:rPr>
        <w:t>稻田养殖蟹、虾、鱼的稻渔共生生态循环产业，集中建设</w:t>
      </w:r>
      <w:r>
        <w:rPr>
          <w:rFonts w:hint="eastAsia" w:ascii="仿宋_GB2312" w:hAnsi="仿宋_GB2312" w:eastAsia="仿宋_GB2312" w:cs="仿宋_GB2312"/>
          <w:color w:val="000007"/>
          <w:spacing w:val="-9"/>
          <w:sz w:val="32"/>
          <w:szCs w:val="32"/>
        </w:rPr>
        <w:t>四村稻渔空间、王爱召</w:t>
      </w:r>
      <w:r>
        <w:rPr>
          <w:rFonts w:hint="eastAsia" w:ascii="仿宋_GB2312" w:hAnsi="仿宋_GB2312" w:eastAsia="仿宋_GB2312" w:cs="仿宋_GB2312"/>
          <w:sz w:val="32"/>
          <w:szCs w:val="32"/>
        </w:rPr>
        <w:t>方天盐碱地绿色有机水稻等</w:t>
      </w:r>
      <w:r>
        <w:rPr>
          <w:rFonts w:hint="eastAsia" w:ascii="仿宋_GB2312" w:hAnsi="仿宋_GB2312" w:eastAsia="仿宋_GB2312" w:cs="仿宋_GB2312"/>
          <w:color w:val="000007"/>
          <w:spacing w:val="-9"/>
          <w:sz w:val="32"/>
          <w:szCs w:val="32"/>
        </w:rPr>
        <w:t>生态</w:t>
      </w:r>
      <w:r>
        <w:rPr>
          <w:rFonts w:hint="eastAsia" w:ascii="仿宋_GB2312" w:hAnsi="仿宋_GB2312" w:eastAsia="仿宋_GB2312" w:cs="仿宋_GB2312"/>
          <w:color w:val="000007"/>
          <w:spacing w:val="-3"/>
          <w:sz w:val="32"/>
          <w:szCs w:val="32"/>
        </w:rPr>
        <w:t>种养殖基地</w:t>
      </w:r>
      <w:r>
        <w:rPr>
          <w:rFonts w:hint="eastAsia" w:ascii="仿宋_GB2312" w:hAnsi="仿宋_GB2312" w:eastAsia="仿宋_GB2312" w:cs="仿宋_GB2312"/>
          <w:sz w:val="32"/>
          <w:szCs w:val="32"/>
        </w:rPr>
        <w:t>，力争水稻种植面积达到4万亩、水产品总量突破6000吨。适度有序发展南部梁外沟洼地区有机五谷杂粮种植产业，杂粮种植面积达到</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rPr>
        <w:t>万亩以上。</w:t>
      </w:r>
      <w:r>
        <w:rPr>
          <w:rFonts w:hint="eastAsia" w:ascii="仿宋_GB2312" w:hAnsi="仿宋_GB2312" w:eastAsia="仿宋_GB2312" w:cs="仿宋_GB2312"/>
          <w:color w:val="000007"/>
          <w:spacing w:val="-3"/>
          <w:sz w:val="32"/>
          <w:szCs w:val="32"/>
        </w:rPr>
        <w:t>大力发展乡村旅游等农牧业新业态，推进观光农业、乡村民宿、瓜果采摘等都市农业，</w:t>
      </w:r>
      <w:r>
        <w:rPr>
          <w:rFonts w:hint="eastAsia" w:ascii="仿宋_GB2312" w:hAnsi="仿宋_GB2312" w:eastAsia="仿宋_GB2312" w:cs="仿宋_GB2312"/>
          <w:color w:val="000007"/>
          <w:spacing w:val="-9"/>
          <w:sz w:val="32"/>
          <w:szCs w:val="32"/>
        </w:rPr>
        <w:t>推动一二三产业融合发展，</w:t>
      </w:r>
      <w:r>
        <w:rPr>
          <w:rFonts w:hint="eastAsia" w:ascii="仿宋_GB2312" w:hAnsi="仿宋_GB2312" w:eastAsia="仿宋_GB2312" w:cs="仿宋_GB2312"/>
          <w:sz w:val="32"/>
          <w:szCs w:val="32"/>
        </w:rPr>
        <w:t>打造休闲观光渔村3个、田园综合体5个、乡村旅游示范村8个、示范户18户</w:t>
      </w:r>
      <w:r>
        <w:rPr>
          <w:rFonts w:hint="eastAsia" w:ascii="仿宋_GB2312" w:hAnsi="仿宋_GB2312" w:eastAsia="仿宋_GB2312" w:cs="仿宋_GB2312"/>
          <w:spacing w:val="-9"/>
          <w:sz w:val="32"/>
          <w:szCs w:val="32"/>
        </w:rPr>
        <w:t>。</w:t>
      </w:r>
    </w:p>
    <w:p w14:paraId="01020C03">
      <w:pPr>
        <w:pStyle w:val="10"/>
        <w:spacing w:line="600" w:lineRule="exact"/>
        <w:ind w:left="0" w:right="57" w:firstLine="598"/>
        <w:rPr>
          <w:rFonts w:ascii="仿宋_GB2312" w:hAnsi="仿宋_GB2312" w:eastAsia="仿宋_GB2312" w:cs="仿宋_GB2312"/>
          <w:sz w:val="32"/>
          <w:szCs w:val="32"/>
        </w:rPr>
      </w:pPr>
      <w:r>
        <w:rPr>
          <w:rFonts w:ascii="Times New Roman" w:hAnsi="Times New Roman" w:eastAsia="楷体_GB2312" w:cs="Times New Roman"/>
          <w:b/>
          <w:color w:val="000007"/>
          <w:spacing w:val="-11"/>
          <w:sz w:val="32"/>
          <w:szCs w:val="32"/>
        </w:rPr>
        <w:t>强化农牧业科技和装备支撑。</w:t>
      </w:r>
      <w:r>
        <w:rPr>
          <w:rFonts w:hint="eastAsia" w:ascii="仿宋_GB2312" w:hAnsi="仿宋_GB2312" w:eastAsia="仿宋_GB2312" w:cs="仿宋_GB2312"/>
          <w:sz w:val="32"/>
          <w:szCs w:val="32"/>
        </w:rPr>
        <w:t>推广普及现代农牧业科技，健全旗、镇、村三级农牧业科技服务体系，启动运行农村牧区科技服务“110”，加快推进智慧农业建设，全面提升数字技术应用水平。全面实施产业人才培养示范工程和新型经营主体“领头雁”培养计划，大力培育现代农牧业产业人才和乡村生产经营管理人才，力争各类适用人才突破1200人。打好种业翻身仗，提高农牧业良种化水平，充分发挥真金种业龙头带动作用，建成一批良种测试站、种畜禽及水产良种场，健全动物防疫和农作物病虫害防治体系，打造自治区一流的原粮及良种繁育基地。到2025年，全旗主要农作物良种覆盖率达到98%、畜禽良种率达到85%以上，新建农作物繁育基地2万亩、优质肉牛种牛场1个、自治区级种羊场1个。建立以企业为主体、市场为导向、产学研相结合的技术创新体系，推广技术转让、技术参股、技术服务等多种形式的产学研结合模式。针对土壤改良、盐碱地治理、有机肥开发、节水灌溉、河滩地利用等生产和生态痛点开展联合技术攻关，研发一批具有先进性、专属性的技术和工艺，创制一批适用性广、经济性好的设施装备。推动农业高新技术创新成果产业化转化应用，鼓励农牧业领域前沿技术初试、中试，大力支持真金种业优质种质资源技术研发和推广应用，提升农牧业核心竞争力，建成自治区农业高新技术产业示范基地和科技创新示范园区。</w:t>
      </w:r>
    </w:p>
    <w:p w14:paraId="3314192F">
      <w:pPr>
        <w:pStyle w:val="10"/>
        <w:spacing w:line="600" w:lineRule="exact"/>
        <w:ind w:left="0" w:right="57" w:firstLine="611"/>
        <w:rPr>
          <w:rFonts w:ascii="Times New Roman" w:hAnsi="Times New Roman" w:eastAsia="仿宋_GB2312" w:cs="Times New Roman"/>
          <w:sz w:val="32"/>
          <w:szCs w:val="32"/>
        </w:rPr>
      </w:pPr>
      <w:r>
        <w:rPr>
          <w:rFonts w:ascii="Times New Roman" w:hAnsi="Times New Roman" w:eastAsia="楷体_GB2312" w:cs="Times New Roman"/>
          <w:b/>
          <w:color w:val="000007"/>
          <w:spacing w:val="-8"/>
          <w:sz w:val="32"/>
          <w:szCs w:val="32"/>
        </w:rPr>
        <w:t>大力推进农牧业</w:t>
      </w:r>
      <w:r>
        <w:rPr>
          <w:rFonts w:ascii="Times New Roman" w:hAnsi="Times New Roman" w:eastAsia="楷体_GB2312" w:cs="Times New Roman"/>
          <w:b/>
          <w:color w:val="000007"/>
          <w:spacing w:val="-8"/>
          <w:sz w:val="32"/>
          <w:szCs w:val="32"/>
          <w:lang w:val="en-US"/>
        </w:rPr>
        <w:t>绿色</w:t>
      </w:r>
      <w:r>
        <w:rPr>
          <w:rFonts w:ascii="Times New Roman" w:hAnsi="Times New Roman" w:eastAsia="楷体_GB2312" w:cs="Times New Roman"/>
          <w:b/>
          <w:color w:val="000007"/>
          <w:spacing w:val="-8"/>
          <w:sz w:val="32"/>
          <w:szCs w:val="32"/>
        </w:rPr>
        <w:t>化生产。</w:t>
      </w:r>
      <w:r>
        <w:rPr>
          <w:rFonts w:hint="eastAsia" w:ascii="仿宋_GB2312" w:hAnsi="仿宋_GB2312" w:eastAsia="仿宋_GB2312" w:cs="仿宋_GB2312"/>
          <w:sz w:val="32"/>
          <w:szCs w:val="32"/>
        </w:rPr>
        <w:t>强化绿色导向，大力推进国家农业绿色发展先行区创建行动。全面实施耕地质量保护与提升行动，推广测土配方精准施肥、深耕深松、保护性耕作、秸秆还田、增施有机肥以及培肥改土等“沃土工程”，坚持用养结合、预防退化，稳定提高耕地自然生产力。到2025年，全旗耕地基础地力提高0.3个等级，有机肥资源利用率提高4%，农药、化肥用量实现零增长，耕地酸化、盐渍化、污染等问题得到有效控制。大力构建生态循环农业，整合农综开发、国土整理、保护性耕地等工程，加强设施农业产业集群建设，打造集中连片、旱涝保收、稳产高产、生态友好的农牧业现代化示范基地5个；推进“过腹还田”、渔光互补、林光互促、农畜配套、农林结合，实现立体循环、种养一体。推行农牧结合、种养平衡、生态养殖、优质安全的农牧业发展方式，深入实施“四控”行动，提高农牧业清洁化生产水平，全旗畜禽粪污综合利用率达到95%、秸秆综合利用率达到90%、农膜回收率达到</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rPr>
        <w:t>%。</w:t>
      </w:r>
    </w:p>
    <w:p w14:paraId="1C19C7C3">
      <w:pPr>
        <w:pStyle w:val="10"/>
        <w:spacing w:line="600" w:lineRule="exact"/>
        <w:ind w:left="0" w:right="57" w:firstLine="643"/>
        <w:rPr>
          <w:rFonts w:ascii="Times New Roman" w:hAnsi="Times New Roman" w:eastAsia="仿宋_GB2312" w:cs="Times New Roman"/>
          <w:sz w:val="32"/>
          <w:szCs w:val="32"/>
        </w:rPr>
      </w:pPr>
      <w:r>
        <w:rPr>
          <w:rFonts w:ascii="Times New Roman" w:hAnsi="Times New Roman" w:eastAsia="楷体_GB2312" w:cs="Times New Roman"/>
          <w:b/>
          <w:color w:val="000007"/>
          <w:sz w:val="32"/>
          <w:szCs w:val="32"/>
        </w:rPr>
        <w:t>大力提升农牧业品牌价值。</w:t>
      </w:r>
      <w:r>
        <w:rPr>
          <w:rFonts w:hint="eastAsia" w:ascii="仿宋_GB2312" w:hAnsi="仿宋_GB2312" w:eastAsia="仿宋_GB2312" w:cs="仿宋_GB2312"/>
          <w:sz w:val="32"/>
          <w:szCs w:val="32"/>
        </w:rPr>
        <w:t>实施绿色有机产品品牌培育工程，发挥库布其沙漠沿线绿色草原牧养、沿河标准化规模养殖优势，引导和支持涉农龙头企业依托“黄河几字湾”区域公用品牌，面向中高端市场，打造“名优特精”农畜产品。强化“真金”“响沙”“东达蒙古王”等优势农产品品牌，夯实“四村大米”等地域品牌，形成健全的农牧产品品牌体系和产品谱系。加快实施农业全程标准化建设，制定完善玉米等六大</w:t>
      </w:r>
      <w:r>
        <w:rPr>
          <w:rFonts w:hint="eastAsia" w:ascii="仿宋_GB2312" w:hAnsi="仿宋_GB2312" w:eastAsia="仿宋_GB2312" w:cs="仿宋_GB2312"/>
          <w:sz w:val="32"/>
          <w:szCs w:val="32"/>
          <w:lang w:val="en-US"/>
        </w:rPr>
        <w:t>优势产业</w:t>
      </w:r>
      <w:r>
        <w:rPr>
          <w:rFonts w:hint="eastAsia" w:ascii="仿宋_GB2312" w:hAnsi="仿宋_GB2312" w:eastAsia="仿宋_GB2312" w:cs="仿宋_GB2312"/>
          <w:sz w:val="32"/>
          <w:szCs w:val="32"/>
        </w:rPr>
        <w:t>标准化生产技术规程，扎实推进农产品认证登记。到2025年，全旗“两品一标”认证面积达到农作物总播面积的50%以上，登记名特优新农畜产品10个以上，“黄河几字湾”区域公用品牌取得“蒙字标”认证。强化标准引领，推动畜牧业由散养向适度规模养殖转变，鼓励龙头企业、养殖大户、专业合作社等新型经营主体通过品牌嫁接、资本运作、产业延伸等方式联合重组，着力培养一批关联度大、带动能力强的大型农牧业企业集团。到2025年，建设标准化规模化养殖场15个，规模化养殖比重达到80％以上，培育自治区级以上农牧业龙头企业5家、家庭牧场500个、专业合作社100个、高素质农牧民1950人，农企紧密利益联结率提高到75%以上。强化质量安全监管，充分利用大数据、云计算、区块链等技术手段，开展农畜产品质量安全可追溯试点试验，创建国家农产品质量安全旗。</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799B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47" w:hRule="atLeast"/>
        </w:trPr>
        <w:tc>
          <w:tcPr>
            <w:tcW w:w="9064" w:type="dxa"/>
            <w:shd w:val="clear" w:color="auto" w:fill="FDE9D9" w:themeFill="accent6" w:themeFillShade="D9" w:themeFillTint="33"/>
            <w:vAlign w:val="center"/>
          </w:tcPr>
          <w:p w14:paraId="3DFB178B">
            <w:pPr>
              <w:pStyle w:val="10"/>
              <w:spacing w:line="240" w:lineRule="auto"/>
              <w:ind w:left="0" w:right="59" w:firstLine="526"/>
              <w:jc w:val="center"/>
              <w:rPr>
                <w:rFonts w:ascii="Times New Roman" w:hAnsi="Times New Roman" w:eastAsia="仿宋_GB2312" w:cs="Times New Roman"/>
                <w:b/>
                <w:color w:val="000007"/>
                <w:spacing w:val="-9"/>
                <w:sz w:val="30"/>
                <w:szCs w:val="30"/>
              </w:rPr>
            </w:pPr>
            <w:r>
              <w:rPr>
                <w:rFonts w:ascii="Times New Roman" w:hAnsi="Times New Roman" w:eastAsia="仿宋_GB2312" w:cs="Times New Roman"/>
                <w:b/>
                <w:color w:val="000007"/>
                <w:spacing w:val="-9"/>
              </w:rPr>
              <w:t>专栏2：</w:t>
            </w:r>
            <w:r>
              <w:rPr>
                <w:rFonts w:ascii="Times New Roman" w:hAnsi="Times New Roman" w:eastAsia="仿宋_GB2312" w:cs="Times New Roman"/>
                <w:b/>
              </w:rPr>
              <w:t>“黄河几字</w:t>
            </w:r>
            <w:r>
              <w:rPr>
                <w:rFonts w:hint="eastAsia" w:ascii="Times New Roman" w:hAnsi="Times New Roman" w:eastAsia="仿宋_GB2312" w:cs="Times New Roman"/>
                <w:b/>
              </w:rPr>
              <w:t>弯</w:t>
            </w:r>
            <w:r>
              <w:rPr>
                <w:rFonts w:ascii="Times New Roman" w:hAnsi="Times New Roman" w:eastAsia="仿宋_GB2312" w:cs="Times New Roman"/>
                <w:b/>
              </w:rPr>
              <w:t>”优质农畜产品生产加工输出区</w:t>
            </w:r>
          </w:p>
        </w:tc>
      </w:tr>
      <w:tr w14:paraId="2947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70" w:hRule="atLeast"/>
        </w:trPr>
        <w:tc>
          <w:tcPr>
            <w:tcW w:w="9064" w:type="dxa"/>
            <w:shd w:val="clear" w:color="auto" w:fill="FDE9D9" w:themeFill="accent6" w:themeFillShade="D9" w:themeFillTint="33"/>
            <w:vAlign w:val="center"/>
          </w:tcPr>
          <w:p w14:paraId="6B19D674">
            <w:pPr>
              <w:pStyle w:val="10"/>
              <w:spacing w:line="240" w:lineRule="auto"/>
              <w:ind w:left="0" w:right="59" w:firstLine="562"/>
              <w:jc w:val="center"/>
              <w:rPr>
                <w:rFonts w:ascii="Times New Roman" w:hAnsi="Times New Roman" w:eastAsia="仿宋_GB2312" w:cs="Times New Roman"/>
                <w:b/>
                <w:color w:val="000007"/>
                <w:spacing w:val="-9"/>
              </w:rPr>
            </w:pPr>
            <w:r>
              <w:rPr>
                <w:rFonts w:ascii="Times New Roman" w:hAnsi="Times New Roman" w:eastAsia="仿宋_GB2312" w:cs="Times New Roman"/>
                <w:b/>
              </w:rPr>
              <w:t>“一线一带两区八园”新格局</w:t>
            </w:r>
          </w:p>
        </w:tc>
      </w:tr>
      <w:tr w14:paraId="346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3661" w:hRule="atLeast"/>
        </w:trPr>
        <w:tc>
          <w:tcPr>
            <w:tcW w:w="9064" w:type="dxa"/>
            <w:shd w:val="clear" w:color="auto" w:fill="D8D8D8" w:themeFill="background1" w:themeFillShade="D9"/>
          </w:tcPr>
          <w:p w14:paraId="175D9D40">
            <w:pPr>
              <w:pStyle w:val="10"/>
              <w:spacing w:line="360" w:lineRule="auto"/>
              <w:ind w:left="0" w:right="59"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sz w:val="24"/>
                <w:szCs w:val="24"/>
              </w:rPr>
              <w:t>一线：</w:t>
            </w:r>
            <w:r>
              <w:rPr>
                <w:rFonts w:hint="eastAsia" w:ascii="仿宋_GB2312" w:hAnsi="Times New Roman" w:eastAsia="仿宋_GB2312" w:cs="Times New Roman"/>
                <w:sz w:val="24"/>
                <w:szCs w:val="24"/>
              </w:rPr>
              <w:t>即沿河一线。发展水产、水稻涉水产业。</w:t>
            </w:r>
          </w:p>
          <w:p w14:paraId="17B063A5">
            <w:pPr>
              <w:pStyle w:val="10"/>
              <w:spacing w:line="360" w:lineRule="auto"/>
              <w:ind w:left="0" w:right="59" w:firstLine="482"/>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 一带：</w:t>
            </w:r>
            <w:r>
              <w:rPr>
                <w:rFonts w:hint="eastAsia" w:ascii="仿宋_GB2312" w:hAnsi="Times New Roman" w:eastAsia="仿宋_GB2312" w:cs="Times New Roman"/>
                <w:sz w:val="24"/>
                <w:szCs w:val="24"/>
              </w:rPr>
              <w:t>即库布其沙漠北缘与平原过渡带。发展奶牛、肉牛、生猪、肉（绒）羊等养殖业。</w:t>
            </w:r>
          </w:p>
          <w:p w14:paraId="414A849F">
            <w:pPr>
              <w:pStyle w:val="10"/>
              <w:spacing w:line="360" w:lineRule="auto"/>
              <w:ind w:left="0" w:right="59"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sz w:val="24"/>
                <w:szCs w:val="24"/>
              </w:rPr>
              <w:t>两区：</w:t>
            </w:r>
            <w:r>
              <w:rPr>
                <w:rFonts w:hint="eastAsia" w:ascii="仿宋_GB2312" w:hAnsi="Times New Roman" w:eastAsia="仿宋_GB2312" w:cs="Times New Roman"/>
                <w:sz w:val="24"/>
                <w:szCs w:val="24"/>
              </w:rPr>
              <w:t>即南部丘陵特色产业区发展杂粮、山地养殖等特色种养业；沿黄冲积平原区，发展规模化玉米、小麦种植业。</w:t>
            </w:r>
          </w:p>
          <w:p w14:paraId="42054079">
            <w:pPr>
              <w:pStyle w:val="10"/>
              <w:spacing w:line="360" w:lineRule="auto"/>
              <w:ind w:left="0" w:right="59" w:firstLine="480"/>
              <w:rPr>
                <w:rFonts w:ascii="Times New Roman" w:hAnsi="Times New Roman" w:eastAsia="仿宋_GB2312" w:cs="Times New Roman"/>
                <w:b/>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sz w:val="24"/>
                <w:szCs w:val="24"/>
              </w:rPr>
              <w:t>八园：</w:t>
            </w:r>
            <w:r>
              <w:rPr>
                <w:rFonts w:hint="eastAsia" w:ascii="仿宋_GB2312" w:hAnsi="Times New Roman" w:eastAsia="仿宋_GB2312" w:cs="Times New Roman"/>
                <w:sz w:val="24"/>
                <w:szCs w:val="24"/>
              </w:rPr>
              <w:t>即王爱召农耕文化园、四村稻渔空间生态旅游园、林原田园综合体、风水梁生态农业园、蒙根花现代农业示范园、树林召农旅文化产业园、展旦召奶牛产业园、恩格贝生态示范园。</w:t>
            </w:r>
          </w:p>
        </w:tc>
      </w:tr>
      <w:tr w14:paraId="7219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551" w:hRule="atLeast"/>
        </w:trPr>
        <w:tc>
          <w:tcPr>
            <w:tcW w:w="9064" w:type="dxa"/>
            <w:shd w:val="clear" w:color="auto" w:fill="FDEADA" w:themeFill="accent6" w:themeFillShade="D9" w:themeFillTint="32"/>
            <w:vAlign w:val="center"/>
          </w:tcPr>
          <w:p w14:paraId="70D3301C">
            <w:pPr>
              <w:pStyle w:val="10"/>
              <w:spacing w:line="240" w:lineRule="auto"/>
              <w:ind w:left="0" w:right="59" w:firstLine="526"/>
              <w:jc w:val="center"/>
              <w:rPr>
                <w:rFonts w:ascii="Times New Roman" w:hAnsi="Times New Roman" w:eastAsia="仿宋_GB2312" w:cs="Times New Roman"/>
              </w:rPr>
            </w:pPr>
            <w:r>
              <w:rPr>
                <w:rFonts w:ascii="Times New Roman" w:hAnsi="Times New Roman" w:eastAsia="仿宋_GB2312" w:cs="Times New Roman"/>
                <w:b/>
                <w:color w:val="000007"/>
                <w:spacing w:val="-9"/>
              </w:rPr>
              <w:t>重点工程</w:t>
            </w:r>
          </w:p>
        </w:tc>
      </w:tr>
      <w:tr w14:paraId="585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756" w:hRule="atLeast"/>
        </w:trPr>
        <w:tc>
          <w:tcPr>
            <w:tcW w:w="9064" w:type="dxa"/>
            <w:shd w:val="clear" w:color="auto" w:fill="D8D8D8" w:themeFill="background1" w:themeFillShade="D9"/>
          </w:tcPr>
          <w:p w14:paraId="4C30FB4F">
            <w:pPr>
              <w:pStyle w:val="10"/>
              <w:spacing w:line="360" w:lineRule="auto"/>
              <w:ind w:left="0" w:right="59" w:firstLine="480"/>
              <w:rPr>
                <w:rFonts w:ascii="仿宋_GB2312" w:hAnsi="Times New Roman" w:eastAsia="仿宋_GB2312" w:cs="Times New Roman"/>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sz w:val="24"/>
                <w:szCs w:val="24"/>
              </w:rPr>
              <w:t>国家农业绿色发展先行区；</w:t>
            </w:r>
            <w:r>
              <w:rPr>
                <w:rFonts w:hint="eastAsia" w:ascii="仿宋_GB2312" w:hAnsi="Times New Roman" w:eastAsia="仿宋_GB2312" w:cs="Times New Roman"/>
                <w:bCs/>
                <w:color w:val="000007"/>
                <w:spacing w:val="-18"/>
                <w:sz w:val="24"/>
                <w:szCs w:val="24"/>
              </w:rPr>
              <w:t>自治区</w:t>
            </w:r>
            <w:r>
              <w:rPr>
                <w:rFonts w:hint="eastAsia" w:ascii="仿宋_GB2312" w:hAnsi="Times New Roman" w:eastAsia="仿宋_GB2312" w:cs="Times New Roman"/>
                <w:bCs/>
                <w:color w:val="000007"/>
                <w:spacing w:val="-11"/>
                <w:sz w:val="24"/>
                <w:szCs w:val="24"/>
              </w:rPr>
              <w:t>农业</w:t>
            </w:r>
            <w:r>
              <w:rPr>
                <w:rFonts w:hint="eastAsia" w:ascii="仿宋_GB2312" w:hAnsi="Times New Roman" w:eastAsia="仿宋_GB2312" w:cs="Times New Roman"/>
                <w:bCs/>
                <w:color w:val="000007"/>
                <w:spacing w:val="-18"/>
                <w:sz w:val="24"/>
                <w:szCs w:val="24"/>
              </w:rPr>
              <w:t>高新技术产业示范基地</w:t>
            </w:r>
            <w:r>
              <w:rPr>
                <w:rFonts w:hint="eastAsia" w:ascii="仿宋_GB2312" w:hAnsi="Times New Roman" w:eastAsia="仿宋_GB2312" w:cs="Times New Roman"/>
                <w:color w:val="000007"/>
                <w:spacing w:val="-18"/>
                <w:sz w:val="24"/>
                <w:szCs w:val="24"/>
              </w:rPr>
              <w:t>；</w:t>
            </w:r>
            <w:r>
              <w:rPr>
                <w:rFonts w:hint="eastAsia" w:ascii="仿宋_GB2312" w:hAnsi="Times New Roman" w:eastAsia="仿宋_GB2312" w:cs="Times New Roman"/>
                <w:sz w:val="24"/>
                <w:szCs w:val="24"/>
              </w:rPr>
              <w:t>自治区有机奶源供应基地；自治区优质乳肉生产基地。</w:t>
            </w:r>
          </w:p>
          <w:p w14:paraId="058574CF">
            <w:pPr>
              <w:pStyle w:val="10"/>
              <w:spacing w:line="360" w:lineRule="auto"/>
              <w:ind w:left="0" w:right="59" w:firstLine="480"/>
              <w:rPr>
                <w:rFonts w:ascii="仿宋_GB2312" w:hAnsi="Times New Roman" w:eastAsia="仿宋_GB2312" w:cs="Times New Roman"/>
                <w:bCs/>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Cs/>
                <w:sz w:val="24"/>
                <w:szCs w:val="24"/>
              </w:rPr>
              <w:t>种质资源保护和利用工程；优质粮食工程；</w:t>
            </w:r>
            <w:r>
              <w:rPr>
                <w:rFonts w:hint="eastAsia" w:ascii="仿宋_GB2312" w:hAnsi="Times New Roman" w:eastAsia="仿宋_GB2312" w:cs="Times New Roman"/>
                <w:bCs/>
                <w:sz w:val="24"/>
                <w:szCs w:val="24"/>
                <w:lang w:val="en-US"/>
              </w:rPr>
              <w:t>高标准吨粮田，超吨粮田建设工程。</w:t>
            </w:r>
          </w:p>
          <w:p w14:paraId="0D2640D4">
            <w:pPr>
              <w:pStyle w:val="10"/>
              <w:spacing w:line="360" w:lineRule="auto"/>
              <w:ind w:left="0" w:right="59"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奶业振兴工程；生猪产能恢复工程；肉牛标准化养殖工程；肉羊全产业链加工工程。</w:t>
            </w:r>
          </w:p>
          <w:p w14:paraId="57096095">
            <w:pPr>
              <w:pStyle w:val="10"/>
              <w:spacing w:line="360" w:lineRule="auto"/>
              <w:ind w:left="0" w:right="59" w:firstLine="480"/>
              <w:rPr>
                <w:rFonts w:ascii="仿宋_GB2312" w:hAnsi="Times New Roman" w:eastAsia="仿宋_GB2312" w:cs="Times New Roman"/>
                <w:bCs/>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Cs/>
                <w:sz w:val="24"/>
                <w:szCs w:val="24"/>
              </w:rPr>
              <w:t>智慧农业工程；</w:t>
            </w:r>
            <w:r>
              <w:rPr>
                <w:rFonts w:hint="eastAsia" w:ascii="仿宋_GB2312" w:hAnsi="Times New Roman" w:eastAsia="仿宋_GB2312" w:cs="Times New Roman"/>
                <w:bCs/>
                <w:color w:val="000007"/>
                <w:spacing w:val="-8"/>
                <w:sz w:val="24"/>
                <w:szCs w:val="24"/>
              </w:rPr>
              <w:t>“沃土工程”。</w:t>
            </w:r>
          </w:p>
          <w:p w14:paraId="05A0F76C">
            <w:pPr>
              <w:pStyle w:val="10"/>
              <w:spacing w:line="360" w:lineRule="auto"/>
              <w:ind w:left="0" w:right="59" w:firstLine="480"/>
              <w:rPr>
                <w:rFonts w:ascii="Times New Roman" w:hAnsi="Times New Roman" w:cs="Times New Roman"/>
                <w:sz w:val="24"/>
                <w:szCs w:val="24"/>
              </w:rPr>
            </w:pPr>
            <w:r>
              <w:rPr>
                <w:rFonts w:hint="eastAsia" w:ascii="仿宋_GB2312" w:hAnsi="Times New Roman" w:eastAsia="仿宋_GB2312" w:cs="Times New Roman"/>
                <w:bCs/>
                <w:sz w:val="24"/>
                <w:szCs w:val="24"/>
              </w:rPr>
              <w:t>◆ 绿色有机产品品牌培育工程。</w:t>
            </w:r>
          </w:p>
        </w:tc>
      </w:tr>
    </w:tbl>
    <w:p w14:paraId="7359AF11">
      <w:pPr>
        <w:pStyle w:val="4"/>
        <w:spacing w:line="600" w:lineRule="exact"/>
        <w:rPr>
          <w:rFonts w:ascii="楷体_GB2312" w:hAnsi="楷体_GB2312" w:eastAsia="楷体_GB2312" w:cs="楷体_GB2312"/>
        </w:rPr>
      </w:pPr>
      <w:bookmarkStart w:id="187" w:name="_Toc711"/>
      <w:bookmarkStart w:id="188" w:name="_Toc30573"/>
      <w:bookmarkStart w:id="189" w:name="_Toc1085394630"/>
      <w:r>
        <w:rPr>
          <w:rFonts w:hint="eastAsia" w:ascii="楷体_GB2312" w:hAnsi="楷体_GB2312" w:eastAsia="楷体_GB2312" w:cs="楷体_GB2312"/>
        </w:rPr>
        <w:t>第二节 推进大工业循环，全</w:t>
      </w:r>
      <w:r>
        <w:rPr>
          <w:rFonts w:hint="eastAsia" w:ascii="楷体_GB2312" w:hAnsi="楷体_GB2312" w:eastAsia="楷体_GB2312" w:cs="楷体_GB2312"/>
          <w:lang w:val="en-US"/>
        </w:rPr>
        <w:t>速培育</w:t>
      </w:r>
      <w:r>
        <w:rPr>
          <w:rFonts w:hint="eastAsia" w:ascii="楷体_GB2312" w:hAnsi="楷体_GB2312" w:eastAsia="楷体_GB2312" w:cs="楷体_GB2312"/>
        </w:rPr>
        <w:t>现代</w:t>
      </w:r>
      <w:r>
        <w:rPr>
          <w:rFonts w:hint="eastAsia" w:ascii="楷体_GB2312" w:hAnsi="楷体_GB2312" w:eastAsia="楷体_GB2312" w:cs="楷体_GB2312"/>
          <w:lang w:val="en-US"/>
        </w:rPr>
        <w:t>能源</w:t>
      </w:r>
      <w:r>
        <w:rPr>
          <w:rFonts w:hint="eastAsia" w:ascii="楷体_GB2312" w:hAnsi="楷体_GB2312" w:eastAsia="楷体_GB2312" w:cs="楷体_GB2312"/>
        </w:rPr>
        <w:t>产业集群</w:t>
      </w:r>
      <w:bookmarkEnd w:id="187"/>
      <w:bookmarkEnd w:id="188"/>
      <w:bookmarkEnd w:id="189"/>
    </w:p>
    <w:p w14:paraId="2FEFB78D">
      <w:pPr>
        <w:pStyle w:val="10"/>
        <w:spacing w:line="600" w:lineRule="exact"/>
        <w:ind w:left="0" w:right="59"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以达拉特经济开发区为核心载体，以千亿级工业园区为目标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数字化引领、智能化改造、链条化延伸、融合化发展为导向，巩固壮大实体经济，深入实施产业基础再造和产业链提升工程，推进产业基础高级化、产业链现代化，全面拓展提升煤、电、铝、材、化工等产业，建设内蒙古中西部地区清洁能源和精细化工产业核心区。</w:t>
      </w:r>
    </w:p>
    <w:p w14:paraId="00F8E7C7">
      <w:pPr>
        <w:pStyle w:val="10"/>
        <w:spacing w:line="600" w:lineRule="exact"/>
        <w:ind w:left="0" w:firstLine="0" w:firstLineChars="0"/>
        <w:jc w:val="center"/>
        <w:outlineLvl w:val="2"/>
        <w:rPr>
          <w:rFonts w:ascii="Times New Roman" w:hAnsi="Times New Roman" w:eastAsia="楷体_GB2312" w:cs="Times New Roman"/>
          <w:b/>
          <w:color w:val="000007"/>
          <w:sz w:val="32"/>
          <w:szCs w:val="32"/>
          <w:lang w:val="en-US"/>
        </w:rPr>
      </w:pPr>
      <w:bookmarkStart w:id="190" w:name="_Toc11894"/>
      <w:r>
        <w:rPr>
          <w:rFonts w:ascii="Times New Roman" w:hAnsi="Times New Roman" w:eastAsia="楷体_GB2312" w:cs="Times New Roman"/>
          <w:b/>
          <w:color w:val="000007"/>
          <w:sz w:val="32"/>
          <w:szCs w:val="32"/>
        </w:rPr>
        <w:t>一</w:t>
      </w:r>
      <w:bookmarkEnd w:id="190"/>
      <w:r>
        <w:rPr>
          <w:rFonts w:hint="eastAsia" w:ascii="Times New Roman" w:hAnsi="Times New Roman" w:eastAsia="楷体_GB2312" w:cs="Times New Roman"/>
          <w:b/>
          <w:color w:val="000007"/>
          <w:sz w:val="32"/>
          <w:szCs w:val="32"/>
        </w:rPr>
        <w:t>、</w:t>
      </w:r>
      <w:r>
        <w:rPr>
          <w:rFonts w:ascii="Times New Roman" w:hAnsi="Times New Roman" w:eastAsia="楷体_GB2312" w:cs="Times New Roman"/>
          <w:b/>
          <w:color w:val="000007"/>
          <w:sz w:val="32"/>
          <w:szCs w:val="32"/>
          <w:lang w:val="en-US"/>
        </w:rPr>
        <w:t>做大做强现代能源经济</w:t>
      </w:r>
    </w:p>
    <w:p w14:paraId="159FFE88">
      <w:pPr>
        <w:pStyle w:val="10"/>
        <w:spacing w:line="600" w:lineRule="exact"/>
        <w:ind w:left="0" w:firstLine="643"/>
        <w:rPr>
          <w:rFonts w:ascii="仿宋_GB2312" w:hAnsi="仿宋_GB2312" w:eastAsia="仿宋_GB2312" w:cs="仿宋_GB2312"/>
          <w:b/>
          <w:color w:val="000007"/>
          <w:sz w:val="32"/>
          <w:szCs w:val="32"/>
        </w:rPr>
      </w:pPr>
      <w:r>
        <w:rPr>
          <w:rFonts w:ascii="Times New Roman" w:hAnsi="Times New Roman" w:eastAsia="楷体_GB2312" w:cs="Times New Roman"/>
          <w:b/>
          <w:color w:val="000007"/>
          <w:sz w:val="32"/>
          <w:szCs w:val="32"/>
          <w:lang w:val="en-US"/>
        </w:rPr>
        <w:t>推进煤电产业绿色</w:t>
      </w:r>
      <w:r>
        <w:rPr>
          <w:rFonts w:hint="eastAsia" w:ascii="Times New Roman" w:hAnsi="Times New Roman" w:eastAsia="楷体_GB2312" w:cs="Times New Roman"/>
          <w:b/>
          <w:color w:val="000007"/>
          <w:sz w:val="32"/>
          <w:szCs w:val="32"/>
          <w:lang w:val="en-US"/>
        </w:rPr>
        <w:t>低碳</w:t>
      </w:r>
      <w:r>
        <w:rPr>
          <w:rFonts w:ascii="Times New Roman" w:hAnsi="Times New Roman" w:eastAsia="楷体_GB2312" w:cs="Times New Roman"/>
          <w:b/>
          <w:color w:val="000007"/>
          <w:sz w:val="32"/>
          <w:szCs w:val="32"/>
          <w:lang w:val="en-US"/>
        </w:rPr>
        <w:t>转型升级。</w:t>
      </w:r>
      <w:r>
        <w:rPr>
          <w:rFonts w:hint="eastAsia" w:ascii="仿宋_GB2312" w:hAnsi="仿宋_GB2312" w:eastAsia="仿宋_GB2312" w:cs="仿宋_GB2312"/>
          <w:sz w:val="32"/>
          <w:szCs w:val="32"/>
        </w:rPr>
        <w:t>统筹煤炭资源禀赋、先进产能建设、环境容量等要素，建立与煤炭产业发展新形势和新技术应用相适应的煤炭管理新体制，科学界定开发强度，优化提升煤炭供给质量，推动</w:t>
      </w:r>
      <w:r>
        <w:rPr>
          <w:rFonts w:hint="eastAsia" w:ascii="仿宋_GB2312" w:hAnsi="仿宋_GB2312" w:eastAsia="仿宋_GB2312" w:cs="仿宋_GB2312"/>
          <w:sz w:val="32"/>
          <w:szCs w:val="32"/>
          <w:lang w:val="en-US"/>
        </w:rPr>
        <w:t>煤炭产业绿色低碳化发展</w:t>
      </w:r>
      <w:r>
        <w:rPr>
          <w:rFonts w:hint="eastAsia" w:ascii="仿宋_GB2312" w:hAnsi="仿宋_GB2312" w:eastAsia="仿宋_GB2312" w:cs="仿宋_GB2312"/>
          <w:sz w:val="32"/>
          <w:szCs w:val="32"/>
        </w:rPr>
        <w:t xml:space="preserve">。以供给侧结构性改革为主线，有序退出老旧煤矿，依法处置僵尸煤矿，合理化解过剩产能，持续增加有效供给，到2025年，煤矿数量优化整合到23座，原煤生产能力稳定在5670万吨。加快煤矿智能化建设，积极推广利用煤矿智能开采新技术、新设备，引导煤炭企业探索智能化建设技术路径，科学制定智能化建设方案，鼓励井工矿建设智能工作面、露天矿发展无人驾驶，重点推进高头窑、红庆梁、点石沟等煤矿智能化改造，争取推动吴四圪堵智能绿色煤矿恢复产能。推动资源开发与生态环境保护协调发展，集成无害开采循环利用新技术，实现煤矿全生命周期绿色开采，全力建设绿色煤矿。提高煤炭清洁化生产水平，加强煤炭洗选配项目建设，洗选率达到100%，煤矸石、煤泥等低热值燃料综合利用率达到75%。构建新一代电力系统，调整燃煤机组定位，加快淘汰环保和能耗不达标的小机组，按需建设调峰自用煤电机组，积极推动蒙西特高压配套电源点至安徽、河北南等地的电力外送通道项目建设。          </w:t>
      </w:r>
    </w:p>
    <w:p w14:paraId="06F06C35">
      <w:pPr>
        <w:pStyle w:val="10"/>
        <w:spacing w:line="600" w:lineRule="exact"/>
        <w:ind w:left="0" w:firstLine="643"/>
        <w:rPr>
          <w:rFonts w:ascii="Times New Roman" w:hAnsi="Times New Roman" w:eastAsia="仿宋_GB2312" w:cs="Times New Roman"/>
          <w:sz w:val="32"/>
          <w:szCs w:val="32"/>
        </w:rPr>
      </w:pPr>
      <w:r>
        <w:rPr>
          <w:rFonts w:ascii="Times New Roman" w:hAnsi="Times New Roman" w:eastAsia="楷体_GB2312" w:cs="Times New Roman"/>
          <w:b/>
          <w:color w:val="000007"/>
          <w:sz w:val="32"/>
          <w:szCs w:val="32"/>
        </w:rPr>
        <w:t>推动新能源产业加速发展。</w:t>
      </w:r>
      <w:r>
        <w:rPr>
          <w:rFonts w:hint="eastAsia" w:ascii="仿宋_GB2312" w:hAnsi="仿宋_GB2312" w:eastAsia="仿宋_GB2312" w:cs="仿宋_GB2312"/>
          <w:sz w:val="32"/>
          <w:szCs w:val="32"/>
        </w:rPr>
        <w:t>强化新能源产业对地区经济转型发展的战略牵引，以风光火储氢和源网荷储“两个一体化”为引领，坚持集中与分散开发利用并举，全力加快新能源产业发展，优化地区能源供给结构。以光伏领跑基地为核心，强化提升“光伏+”发展模式，加快推进光伏发电平价项目，推动沙漠光伏产业规模化、集约化、智能化、融合化发展，打造千万千瓦级清洁能源示范基地。大力推动增量配电改革试点建设，以开发区就近消纳与余电上网结合为模式，以综合性储能技术突破与应用为核心，运用区块链技术构建开发区-达拉特电厂-光伏基地区域微电网，形成“电源、电网、负荷、储能”一体化运营新格局，建设国家能源安全战略先行试验示范基地。综合布局煤矿复垦区、采煤沉陷区、滩涂盐碱地、渔业养殖区、梁外丘陵区和工商业分布式光伏产业，开展风光同场、智慧管控、科技创新示范和宽负荷调峰示范，依托国能集团蒙西至天津南特高压输电工程，建设一批光伏、风电项目。到2025年，全旗风电规模达到100万千瓦，光电规模达到800万千瓦，火电规模达到600万千瓦，储能规模达到80万千瓦。依托光伏发电产业，</w:t>
      </w:r>
      <w:r>
        <w:rPr>
          <w:rFonts w:hint="eastAsia" w:ascii="仿宋_GB2312" w:hAnsi="仿宋_GB2312" w:eastAsia="仿宋_GB2312" w:cs="仿宋_GB2312"/>
          <w:sz w:val="32"/>
          <w:szCs w:val="32"/>
          <w:lang w:val="en-US"/>
        </w:rPr>
        <w:t>加快氢能产业链布局</w:t>
      </w:r>
      <w:r>
        <w:rPr>
          <w:rFonts w:hint="eastAsia" w:ascii="仿宋_GB2312" w:hAnsi="仿宋_GB2312" w:eastAsia="仿宋_GB2312" w:cs="仿宋_GB2312"/>
          <w:sz w:val="32"/>
          <w:szCs w:val="32"/>
        </w:rPr>
        <w:t>，推进氢能燃料生产及储运技术创新，到2025年，氢能产业规模达到30万千瓦。</w:t>
      </w:r>
    </w:p>
    <w:p w14:paraId="582EF73A">
      <w:pPr>
        <w:pStyle w:val="10"/>
        <w:spacing w:line="600" w:lineRule="exact"/>
        <w:ind w:left="0" w:firstLine="643"/>
        <w:rPr>
          <w:rFonts w:ascii="仿宋_GB2312" w:hAnsi="仿宋_GB2312" w:eastAsia="仿宋_GB2312" w:cs="仿宋_GB2312"/>
          <w:sz w:val="32"/>
          <w:szCs w:val="32"/>
          <w:lang w:val="en-US"/>
        </w:rPr>
      </w:pPr>
      <w:r>
        <w:rPr>
          <w:rFonts w:ascii="Times New Roman" w:hAnsi="Times New Roman" w:eastAsia="楷体_GB2312" w:cs="Times New Roman"/>
          <w:b/>
          <w:color w:val="000007"/>
          <w:sz w:val="32"/>
          <w:szCs w:val="32"/>
        </w:rPr>
        <w:t>推动煤化工产业精深发展。</w:t>
      </w:r>
      <w:r>
        <w:rPr>
          <w:rFonts w:hint="eastAsia" w:ascii="仿宋_GB2312" w:hAnsi="仿宋_GB2312" w:eastAsia="仿宋_GB2312" w:cs="仿宋_GB2312"/>
          <w:sz w:val="32"/>
          <w:szCs w:val="32"/>
        </w:rPr>
        <w:t>按照精细化、高端化、终端化的发展理念，加快布局新一代煤制能源、烯烃、芳烃、聚酯、氢等重大项目，引导传统煤化工向高端化学产品、高分子化纤材料、终端应用领域延伸转变，推动现代煤化工全产业链、深层次、差异化增程增值，创建自治区现代煤化工创新示范基地。积极采用先进适用技术，推动发展低阶煤分级分质利用示范和工业副产品制氢等项目，实现煤炭清洁高效转化，提升煤炭资源综合利用价值。推动煤化工能耗、水耗等关键领域技术创新，稳步提高煤制甲醇、煤制乙二醇等产业发展质量，加快煤制芳烃、聚酯等新兴煤制化学品产业发展，延伸发展下游树脂、乙烯、丙烯、聚乙醇酸等煤基精细化学品及高端化学品产业，加快发展功能合成材料、新型纤维、功能膜材料、可降解塑料等高分子材料及终端应用材料产业，带动煤化工产业整体赋能升级。加大绿色低碳生产工艺、技术和装备的研发应用，提升“三废”资源化利用水平，推进盛虹集团高附加值煤化工产品生产技术研发与产业化发展。鼓励采取煤化电热一体化、多联产方式，推动煤化工与煤炭开采、电力、化纤、冶金、建材、氯碱化工等产业融合发展。加强人工智能、大数据、物联网等新一代智能科技信息技术运用，建设具有行业领先优势的绿色工厂、智慧工厂，打造安全、绿色、高端的现代煤化工产业集群。到2025年，建成55万吨二甲醚、60万吨醋酸产能，现代煤化工就地转化率达到</w:t>
      </w:r>
      <w:r>
        <w:rPr>
          <w:rFonts w:hint="eastAsia" w:ascii="仿宋_GB2312" w:hAnsi="仿宋_GB2312" w:eastAsia="仿宋_GB2312" w:cs="仿宋_GB2312"/>
          <w:sz w:val="32"/>
          <w:szCs w:val="32"/>
          <w:lang w:val="en-US"/>
        </w:rPr>
        <w:t>65%以上。</w:t>
      </w:r>
    </w:p>
    <w:p w14:paraId="0B546193">
      <w:pPr>
        <w:pStyle w:val="10"/>
        <w:spacing w:line="600" w:lineRule="exact"/>
        <w:ind w:left="0" w:firstLine="0" w:firstLineChars="0"/>
        <w:jc w:val="center"/>
        <w:outlineLvl w:val="2"/>
        <w:rPr>
          <w:rFonts w:ascii="Times New Roman" w:hAnsi="Times New Roman" w:eastAsia="楷体_GB2312" w:cs="Times New Roman"/>
          <w:b/>
          <w:color w:val="000007"/>
          <w:sz w:val="32"/>
          <w:szCs w:val="32"/>
        </w:rPr>
      </w:pPr>
      <w:bookmarkStart w:id="191" w:name="_Toc7891"/>
      <w:r>
        <w:rPr>
          <w:rFonts w:ascii="Times New Roman" w:hAnsi="Times New Roman" w:eastAsia="楷体_GB2312" w:cs="Times New Roman"/>
          <w:b/>
          <w:color w:val="000007"/>
          <w:sz w:val="32"/>
          <w:szCs w:val="32"/>
        </w:rPr>
        <w:t>二</w:t>
      </w:r>
      <w:r>
        <w:rPr>
          <w:rFonts w:hint="eastAsia" w:ascii="Times New Roman" w:hAnsi="Times New Roman" w:eastAsia="楷体_GB2312" w:cs="Times New Roman"/>
          <w:b/>
          <w:color w:val="000007"/>
          <w:sz w:val="32"/>
          <w:szCs w:val="32"/>
        </w:rPr>
        <w:t>、</w:t>
      </w:r>
      <w:r>
        <w:rPr>
          <w:rFonts w:ascii="Times New Roman" w:hAnsi="Times New Roman" w:eastAsia="楷体_GB2312" w:cs="Times New Roman"/>
          <w:b/>
          <w:color w:val="000007"/>
          <w:sz w:val="32"/>
          <w:szCs w:val="32"/>
          <w:lang w:val="en-US"/>
        </w:rPr>
        <w:t>加快</w:t>
      </w:r>
      <w:r>
        <w:rPr>
          <w:rFonts w:ascii="Times New Roman" w:hAnsi="Times New Roman" w:eastAsia="楷体_GB2312" w:cs="Times New Roman"/>
          <w:b/>
          <w:color w:val="000007"/>
          <w:sz w:val="32"/>
          <w:szCs w:val="32"/>
        </w:rPr>
        <w:t>布局战略性新兴产业</w:t>
      </w:r>
      <w:bookmarkEnd w:id="191"/>
    </w:p>
    <w:p w14:paraId="4860BE1E">
      <w:pPr>
        <w:pStyle w:val="10"/>
        <w:spacing w:line="600" w:lineRule="exact"/>
        <w:ind w:left="0" w:firstLine="643"/>
        <w:rPr>
          <w:rFonts w:ascii="仿宋_GB2312" w:hAnsi="仿宋_GB2312" w:eastAsia="仿宋_GB2312" w:cs="仿宋_GB2312"/>
          <w:sz w:val="32"/>
          <w:szCs w:val="32"/>
        </w:rPr>
      </w:pPr>
      <w:r>
        <w:rPr>
          <w:rFonts w:ascii="Times New Roman" w:hAnsi="Times New Roman" w:eastAsia="楷体_GB2312" w:cs="Times New Roman"/>
          <w:b/>
          <w:color w:val="000007"/>
          <w:sz w:val="32"/>
          <w:szCs w:val="32"/>
        </w:rPr>
        <w:t>加速壮大新材料产业。</w:t>
      </w:r>
      <w:r>
        <w:rPr>
          <w:rFonts w:hint="eastAsia" w:ascii="仿宋_GB2312" w:hAnsi="仿宋_GB2312" w:eastAsia="仿宋_GB2312" w:cs="仿宋_GB2312"/>
          <w:sz w:val="32"/>
          <w:szCs w:val="32"/>
        </w:rPr>
        <w:t>依托甲醇、烯烃、芳烃、高纯铝、碳化硅、石墨烯、高品位石英砂等工业原材料的开发利用，实施一批对制造业有关键支撑作用的先进基础材料、关键战略材料及前沿材料项目，推进铝合金材料、先进轻纺材料、高端聚烯烃、工程塑料、有机硅材料、高性能纤维、功能性膜材料等先进高分子材料和蓝宝石晶体等高端制造与电子信息专用新型材料产业发展，加大石墨烯电极材料及衍生材料、类石墨烯材料生产研发力度，积极引进碳纳米管纤维、碳海绵等先进碳材料中试及产业化项目，抢占新材料前沿制高点，建设内蒙古西部重要的新材料研发应用基地。到2025年，形成20万吨稳定轻烃、1000吨石墨烯、15.8万吨有机硅、10万吨甲醇钠产能。</w:t>
      </w:r>
    </w:p>
    <w:p w14:paraId="35A3DE90">
      <w:pPr>
        <w:pStyle w:val="10"/>
        <w:spacing w:line="600" w:lineRule="exact"/>
        <w:ind w:left="0" w:firstLine="643"/>
        <w:rPr>
          <w:rFonts w:ascii="Times New Roman" w:hAnsi="Times New Roman" w:eastAsia="楷体_GB2312" w:cs="Times New Roman"/>
          <w:b/>
          <w:color w:val="000007"/>
          <w:spacing w:val="-6"/>
          <w:sz w:val="32"/>
          <w:szCs w:val="32"/>
          <w:lang w:val="en-US"/>
        </w:rPr>
      </w:pPr>
      <w:r>
        <w:rPr>
          <w:rFonts w:ascii="Times New Roman" w:hAnsi="Times New Roman" w:eastAsia="楷体_GB2312" w:cs="Times New Roman"/>
          <w:b/>
          <w:color w:val="000007"/>
          <w:sz w:val="32"/>
          <w:szCs w:val="32"/>
          <w:lang w:val="en-US"/>
        </w:rPr>
        <w:t>加快培育</w:t>
      </w:r>
      <w:r>
        <w:rPr>
          <w:rFonts w:ascii="Times New Roman" w:hAnsi="Times New Roman" w:eastAsia="楷体_GB2312" w:cs="Times New Roman"/>
          <w:b/>
          <w:color w:val="000007"/>
          <w:spacing w:val="-6"/>
          <w:sz w:val="32"/>
          <w:szCs w:val="32"/>
        </w:rPr>
        <w:t>生物技术</w:t>
      </w:r>
      <w:r>
        <w:rPr>
          <w:rFonts w:ascii="Times New Roman" w:hAnsi="Times New Roman" w:eastAsia="楷体_GB2312" w:cs="Times New Roman"/>
          <w:b/>
          <w:color w:val="000007"/>
          <w:spacing w:val="-6"/>
          <w:sz w:val="32"/>
          <w:szCs w:val="32"/>
          <w:lang w:val="en-US"/>
        </w:rPr>
        <w:t>产业</w:t>
      </w:r>
      <w:r>
        <w:rPr>
          <w:rFonts w:ascii="Times New Roman" w:hAnsi="Times New Roman" w:eastAsia="楷体_GB2312" w:cs="Times New Roman"/>
          <w:b/>
          <w:color w:val="000007"/>
          <w:spacing w:val="-6"/>
          <w:sz w:val="32"/>
          <w:szCs w:val="32"/>
        </w:rPr>
        <w:t>。</w:t>
      </w:r>
      <w:r>
        <w:rPr>
          <w:rFonts w:ascii="Times New Roman" w:hAnsi="Times New Roman" w:eastAsia="仿宋_GB2312" w:cs="Times New Roman"/>
          <w:sz w:val="32"/>
          <w:szCs w:val="32"/>
        </w:rPr>
        <w:t>大力发展有机肥、专用菌、复合多元微藻等生物技术研发应用产业，鼓励东达、中轩等生物企业与高校、科研院所、医疗机构围绕产业发展共性关键技术问题开展合作，优化技术支撑，推动新技术、新产品尽快从实验室走向市场。支持新威远生物科技加快制药工艺和装备的升级换代，完善生产制造和产品质量保证体系，巩固提升质量优势。争取蔚领微藻、四川长征药业落地建设，协同共建产业创新示范基地。</w:t>
      </w:r>
    </w:p>
    <w:p w14:paraId="244EC940">
      <w:pPr>
        <w:pStyle w:val="10"/>
        <w:spacing w:line="600" w:lineRule="exact"/>
        <w:ind w:left="0" w:firstLine="643"/>
        <w:rPr>
          <w:rFonts w:ascii="仿宋_GB2312" w:hAnsi="仿宋_GB2312" w:eastAsia="仿宋_GB2312" w:cs="仿宋_GB2312"/>
          <w:sz w:val="32"/>
          <w:szCs w:val="32"/>
        </w:rPr>
      </w:pPr>
      <w:r>
        <w:rPr>
          <w:rFonts w:ascii="Times New Roman" w:hAnsi="Times New Roman" w:eastAsia="楷体_GB2312" w:cs="Times New Roman"/>
          <w:b/>
          <w:color w:val="000007"/>
          <w:sz w:val="32"/>
          <w:szCs w:val="32"/>
          <w:lang w:val="en-US"/>
        </w:rPr>
        <w:t>大力发展</w:t>
      </w:r>
      <w:r>
        <w:rPr>
          <w:rFonts w:ascii="Times New Roman" w:hAnsi="Times New Roman" w:eastAsia="楷体_GB2312" w:cs="Times New Roman"/>
          <w:b/>
          <w:color w:val="000007"/>
          <w:sz w:val="32"/>
          <w:szCs w:val="32"/>
        </w:rPr>
        <w:t>节能环保产业。</w:t>
      </w:r>
      <w:r>
        <w:rPr>
          <w:rFonts w:hint="eastAsia" w:ascii="仿宋_GB2312" w:hAnsi="仿宋_GB2312" w:eastAsia="仿宋_GB2312" w:cs="仿宋_GB2312"/>
          <w:sz w:val="32"/>
          <w:szCs w:val="32"/>
        </w:rPr>
        <w:t>围绕煤炭开采、化工、火电、冶金等主导产业需求，大力发展尾矿提取有价元素、煤矸石生产超细纤维、工业废物生产新型建材等高值化利用产业，加大报废汽车、废旧电池、废旧电器等资源回收利用力度，推动再生资源清洁化、规模化和产业化发展。推进燃煤工业炉窑改造、低温工业余热余压利用等节能技术应用，加快高浓盐水和工业废水处理技术研发，扩大城镇污水处理、生活垃圾处理、工业脱硫脱硝和污染治理等环保服务产业发展，加快实施达拉特经济开发区循环化改造。推动农业秸秆综合利用，加快建设餐厨废弃物无害化处理和资源化利用设施，打造新型节能环保产业“升级版”。</w:t>
      </w:r>
    </w:p>
    <w:p w14:paraId="4258C455">
      <w:pPr>
        <w:pStyle w:val="10"/>
        <w:spacing w:line="600" w:lineRule="exact"/>
        <w:ind w:left="0" w:firstLine="0" w:firstLineChars="0"/>
        <w:jc w:val="center"/>
        <w:outlineLvl w:val="2"/>
        <w:rPr>
          <w:rFonts w:ascii="Times New Roman" w:hAnsi="Times New Roman" w:eastAsia="楷体_GB2312" w:cs="Times New Roman"/>
          <w:b/>
          <w:sz w:val="32"/>
          <w:szCs w:val="32"/>
        </w:rPr>
      </w:pPr>
      <w:bookmarkStart w:id="192" w:name="_Toc24429"/>
      <w:r>
        <w:rPr>
          <w:rFonts w:ascii="Times New Roman" w:hAnsi="Times New Roman" w:eastAsia="楷体_GB2312" w:cs="Times New Roman"/>
          <w:b/>
          <w:sz w:val="32"/>
          <w:szCs w:val="32"/>
        </w:rPr>
        <w:t>三</w:t>
      </w:r>
      <w:r>
        <w:rPr>
          <w:rFonts w:hint="eastAsia" w:ascii="Times New Roman" w:hAnsi="Times New Roman" w:eastAsia="楷体_GB2312" w:cs="Times New Roman"/>
          <w:b/>
          <w:sz w:val="32"/>
          <w:szCs w:val="32"/>
        </w:rPr>
        <w:t>、</w:t>
      </w:r>
      <w:r>
        <w:rPr>
          <w:rFonts w:ascii="Times New Roman" w:hAnsi="Times New Roman" w:eastAsia="楷体_GB2312" w:cs="Times New Roman"/>
          <w:b/>
          <w:sz w:val="32"/>
          <w:szCs w:val="32"/>
        </w:rPr>
        <w:t>拓展提升传统优势工业</w:t>
      </w:r>
      <w:bookmarkEnd w:id="192"/>
    </w:p>
    <w:p w14:paraId="06B887F9">
      <w:pPr>
        <w:spacing w:line="600" w:lineRule="exact"/>
        <w:ind w:firstLine="594"/>
        <w:rPr>
          <w:rFonts w:ascii="Times New Roman" w:hAnsi="Times New Roman" w:eastAsia="仿宋_GB2312" w:cs="Times New Roman"/>
          <w:szCs w:val="32"/>
        </w:rPr>
      </w:pPr>
      <w:r>
        <w:rPr>
          <w:rFonts w:ascii="Times New Roman" w:hAnsi="Times New Roman" w:eastAsia="楷体_GB2312" w:cs="Times New Roman"/>
          <w:b/>
          <w:color w:val="000007"/>
          <w:spacing w:val="-12"/>
          <w:szCs w:val="32"/>
        </w:rPr>
        <w:t>推进</w:t>
      </w:r>
      <w:r>
        <w:rPr>
          <w:rFonts w:hint="eastAsia" w:ascii="Times New Roman" w:hAnsi="Times New Roman" w:eastAsia="楷体_GB2312" w:cs="Times New Roman"/>
          <w:b/>
          <w:color w:val="000007"/>
          <w:spacing w:val="-12"/>
          <w:szCs w:val="32"/>
        </w:rPr>
        <w:t>“</w:t>
      </w:r>
      <w:r>
        <w:rPr>
          <w:rFonts w:ascii="Times New Roman" w:hAnsi="Times New Roman" w:eastAsia="楷体_GB2312" w:cs="Times New Roman"/>
          <w:b/>
          <w:color w:val="000007"/>
          <w:spacing w:val="-12"/>
          <w:szCs w:val="32"/>
        </w:rPr>
        <w:t>煤电铝</w:t>
      </w:r>
      <w:r>
        <w:rPr>
          <w:rFonts w:hint="eastAsia" w:ascii="Times New Roman" w:hAnsi="Times New Roman" w:eastAsia="楷体_GB2312" w:cs="Times New Roman"/>
          <w:b/>
          <w:color w:val="000007"/>
          <w:spacing w:val="-12"/>
          <w:szCs w:val="32"/>
        </w:rPr>
        <w:t>”</w:t>
      </w:r>
      <w:r>
        <w:rPr>
          <w:rFonts w:ascii="Times New Roman" w:hAnsi="Times New Roman" w:eastAsia="楷体_GB2312" w:cs="Times New Roman"/>
          <w:b/>
          <w:color w:val="000007"/>
          <w:spacing w:val="-12"/>
          <w:szCs w:val="32"/>
        </w:rPr>
        <w:t>一体化发展。</w:t>
      </w:r>
      <w:r>
        <w:rPr>
          <w:rFonts w:hint="eastAsia" w:ascii="仿宋_GB2312" w:hAnsi="仿宋_GB2312" w:eastAsia="仿宋_GB2312" w:cs="仿宋_GB2312"/>
          <w:szCs w:val="32"/>
        </w:rPr>
        <w:t>充分挖掘本地低热值煤、工业烧碱、电力等资源组合潜力，紧盯国家高纯铝产能置换相关政策，适时转移有指标的高纯铝生产项目，拓展下游铝精深加工产业链，鼓励企业与高校等科研机构联合，通过原料、资源、技术、装备等共享，向精铝加工、铝新材料等方向延伸，壮大电子铝箔、铝合金、镁合金等后续产业，提升铝产业附加值。培育铝材相关制造业，抓住汽车轻量化趋势和契机，大力发展铝合金轮毂、精密压铸件等汽车零部件产业，推动发展航空、高铁、船舶制造等交通运输用铝合金型材以及工业电子产品结构件，实现铝材就地增值。促进铝产业与氯碱化工、煤化工、绿色建材等产业有机融合，推动铝产业横向拓展延伸，改进生产技术及工艺，实现各产业间工艺流程互促、主副产品互补和内部消化，努力降低废水废气废渣排放量，达到资源能源高效利用、工业固废“吃干榨净”。</w:t>
      </w:r>
    </w:p>
    <w:p w14:paraId="617F6087">
      <w:pPr>
        <w:spacing w:line="600" w:lineRule="exact"/>
        <w:ind w:firstLine="607"/>
        <w:rPr>
          <w:rFonts w:ascii="仿宋_GB2312" w:hAnsi="仿宋_GB2312" w:eastAsia="仿宋_GB2312" w:cs="仿宋_GB2312"/>
          <w:szCs w:val="32"/>
        </w:rPr>
      </w:pPr>
      <w:r>
        <w:rPr>
          <w:rFonts w:hint="eastAsia" w:ascii="楷体_GB2312" w:hAnsi="楷体_GB2312" w:eastAsia="楷体_GB2312" w:cs="楷体_GB2312"/>
          <w:b/>
          <w:color w:val="000007"/>
          <w:spacing w:val="-9"/>
          <w:szCs w:val="32"/>
        </w:rPr>
        <w:t>加强氯碱化工循环利用。</w:t>
      </w:r>
      <w:r>
        <w:rPr>
          <w:rFonts w:hint="eastAsia" w:ascii="仿宋_GB2312" w:hAnsi="仿宋_GB2312" w:eastAsia="仿宋_GB2312" w:cs="仿宋_GB2312"/>
          <w:szCs w:val="32"/>
        </w:rPr>
        <w:t>以循环改造、精深加工、耦合融合为主线，加快氯碱化工产业生态圈建设。推进零极距复极式离子膜电解槽、低汞无汞催化剂等先进技术节能降耗改造，推广非电石法无汞PVC工艺，发展PVC用树脂、氯化法钛白粉、氯化高聚物以及新型含氯农药中间体、医药中间体、食品添加剂和化工新材料等高附加值氯产品，优化氯碱化工供应链结构。积极推进亿利化学电石泥制活性氧化钙等先进技术应用，打造“电石渣-活性氧化钙（石灰）-电石-PVC 树脂-电石渣”闭路循环经济产业链。鼓励核心材料离子膜的国产化应用，促进行业核心材料国产替代步伐。推进氯碱化工与煤电、煤化工、铝冶炼、建材等产业深度融合，延伸发展烧碱用于铝土矿制取氧化铝、废渣炉渣制水泥、糊树脂等特种聚氯乙烯和聚氯乙烯软制品、双壁波纹管、塑钢型材等聚氯乙烯深加工产品，提高工业“三废”回收再利用与超低排放水平，实现整体资源的绿色生态链闭环利用。</w:t>
      </w:r>
    </w:p>
    <w:p w14:paraId="72ACB55D">
      <w:pPr>
        <w:pStyle w:val="10"/>
        <w:spacing w:line="600" w:lineRule="exact"/>
        <w:ind w:left="0" w:firstLine="643"/>
        <w:rPr>
          <w:rFonts w:ascii="楷体_GB2312" w:hAnsi="楷体_GB2312" w:eastAsia="楷体_GB2312" w:cs="楷体_GB2312"/>
          <w:sz w:val="32"/>
          <w:szCs w:val="32"/>
        </w:rPr>
      </w:pPr>
      <w:r>
        <w:rPr>
          <w:rFonts w:ascii="Times New Roman" w:hAnsi="Times New Roman" w:eastAsia="楷体_GB2312" w:cs="Times New Roman"/>
          <w:b/>
          <w:sz w:val="32"/>
          <w:szCs w:val="32"/>
          <w:lang w:val="en-US"/>
        </w:rPr>
        <w:t>加快</w:t>
      </w:r>
      <w:r>
        <w:rPr>
          <w:rFonts w:ascii="Times New Roman" w:hAnsi="Times New Roman" w:eastAsia="楷体_GB2312" w:cs="Times New Roman"/>
          <w:b/>
          <w:sz w:val="32"/>
          <w:szCs w:val="32"/>
        </w:rPr>
        <w:t>建材产业绿色</w:t>
      </w:r>
      <w:r>
        <w:rPr>
          <w:rFonts w:ascii="Times New Roman" w:hAnsi="Times New Roman" w:eastAsia="楷体_GB2312" w:cs="Times New Roman"/>
          <w:b/>
          <w:sz w:val="32"/>
          <w:szCs w:val="32"/>
          <w:lang w:val="en-US"/>
        </w:rPr>
        <w:t>转型</w:t>
      </w:r>
      <w:r>
        <w:rPr>
          <w:rFonts w:ascii="Times New Roman" w:hAnsi="Times New Roman" w:eastAsia="楷体_GB2312" w:cs="Times New Roman"/>
          <w:b/>
          <w:sz w:val="32"/>
          <w:szCs w:val="32"/>
        </w:rPr>
        <w:t>。</w:t>
      </w:r>
      <w:r>
        <w:rPr>
          <w:rFonts w:hint="eastAsia" w:ascii="仿宋_GB2312" w:hAnsi="仿宋_GB2312" w:eastAsia="仿宋_GB2312" w:cs="仿宋_GB2312"/>
          <w:sz w:val="32"/>
          <w:szCs w:val="32"/>
        </w:rPr>
        <w:t>按照循环经济的理念，深入推进资源节约和综合利用，大力开发和推广使用先进节能技术、自动化技术、环保技术及低消耗、无污染、高性能、多功能、高附加值的新型建材。加强利用煤矸石、粉煤灰、废渣等废物资源生产新型建筑材料，以高技术陶瓷为引领，高端建筑、卫生、日用陶瓷为主体，打造中国西部“瓷都”。加大煤系高岭土、石英砂等资源开发力度，发展高端地板砖、高端耐火材料等节能型建材。延伸煤化工、氯碱化工产业链，发展管材管件、防水材料、塑钢门窗等塑料建材产业，协同提升水泥产品品质。到2025年，建成陶瓷生产线30条，形成年产2600万平方米陶瓷砖产能。</w:t>
      </w:r>
    </w:p>
    <w:p w14:paraId="6086D660">
      <w:pPr>
        <w:pStyle w:val="10"/>
        <w:spacing w:line="600" w:lineRule="exact"/>
        <w:ind w:left="0" w:firstLine="0" w:firstLineChars="0"/>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四、推进工业园区高质量发展</w:t>
      </w:r>
    </w:p>
    <w:p w14:paraId="623ABDB7">
      <w:pPr>
        <w:pStyle w:val="10"/>
        <w:spacing w:line="60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始终把园区作为产业转型升级和经济高质量发展的主战场，优化达拉特经济技术开发区生产力空间布局，科学推进调园扩区，大力加强园中园建设。全面优化产业生态环境，以循环利用、清洁高效、有机协同为主线，发展飞地经济，推动优势产业向园区集中、资源要素向产业链集聚，建设智慧、绿色、产业转型示范园区。突出主导产业核心地位，打造全产业链集群，推动园区产业协同发展、特色发展、集聚发展。加强园区基础设施建设，推进园区信息、金融、科技、物流等新“九通一平”，加快园区公用工程岛建设进度，促进业态集聚、资源集约、功能集成。推进智慧园区建设，加快推动云上企业服务中心和GIS地图应用，深度整合提升工业数据资源汇聚、应用和共享水平，争创自治区示范型、成长型数字经济园区。发展园区高质量经济，坚持走生态优先，绿色发展道路，科学制定严格的产业准入标准和负面清单，切实加大选商引资力度，重点引进科技含量高、劳动力素质高的生产力骨干企业，建立完善“以亩产论英雄”为重点的园区高质量发展考核评价体系。加强土地集中集聚集约发展，拓展用地新渠道，采取土地使用权作价入股、联营、嫁接、兼并等方式，引进项目利用闲置厂房和土地，全面盘活闲置资产，腾出更多要素指标、信贷资源和市场空间，保障优质项目入园建设；加快推进“标准地”改革试点，加强存量建设用地的二次开发，实现土地要素配置效率和效益最大化，提高土地利用率。实施能耗总量和强度“双控”行动，加快形成园区资源节约、环境友好的生产方式和消费模式，提高能源利用效率，促进园区产业结构不断优化升级，实现园区高质量发展。</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4A71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19" w:hRule="atLeast"/>
        </w:trPr>
        <w:tc>
          <w:tcPr>
            <w:tcW w:w="9064" w:type="dxa"/>
            <w:shd w:val="clear" w:color="auto" w:fill="FDE9D9" w:themeFill="accent6" w:themeFillShade="D9" w:themeFillTint="33"/>
            <w:vAlign w:val="center"/>
          </w:tcPr>
          <w:p w14:paraId="43D026D2">
            <w:pPr>
              <w:pStyle w:val="10"/>
              <w:spacing w:line="240" w:lineRule="auto"/>
              <w:ind w:left="0" w:right="59" w:firstLine="562"/>
              <w:jc w:val="center"/>
              <w:rPr>
                <w:rFonts w:ascii="Times New Roman" w:hAnsi="Times New Roman" w:cs="Times New Roman"/>
                <w:b/>
                <w:sz w:val="30"/>
                <w:szCs w:val="30"/>
              </w:rPr>
            </w:pPr>
            <w:r>
              <w:rPr>
                <w:rFonts w:ascii="Times New Roman" w:hAnsi="Times New Roman" w:eastAsia="仿宋_GB2312" w:cs="Times New Roman"/>
                <w:b/>
              </w:rPr>
              <w:t>专栏3：内蒙古中西部地区清洁能源和精细化工产业核心区</w:t>
            </w:r>
          </w:p>
        </w:tc>
      </w:tr>
      <w:tr w14:paraId="35A6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29" w:hRule="atLeast"/>
        </w:trPr>
        <w:tc>
          <w:tcPr>
            <w:tcW w:w="9064" w:type="dxa"/>
            <w:shd w:val="clear" w:color="auto" w:fill="FDEADA" w:themeFill="accent6" w:themeFillShade="D9" w:themeFillTint="32"/>
            <w:vAlign w:val="center"/>
          </w:tcPr>
          <w:p w14:paraId="353E81AD">
            <w:pPr>
              <w:pStyle w:val="10"/>
              <w:spacing w:line="240" w:lineRule="auto"/>
              <w:ind w:left="0" w:firstLine="562"/>
              <w:jc w:val="center"/>
              <w:rPr>
                <w:rFonts w:ascii="Times New Roman" w:hAnsi="Times New Roman" w:eastAsia="仿宋_GB2312" w:cs="Times New Roman"/>
                <w:b/>
              </w:rPr>
            </w:pPr>
            <w:r>
              <w:rPr>
                <w:rFonts w:ascii="Times New Roman" w:hAnsi="Times New Roman" w:eastAsia="仿宋_GB2312" w:cs="Times New Roman"/>
                <w:b/>
              </w:rPr>
              <w:t>五大产业生态圈</w:t>
            </w:r>
          </w:p>
        </w:tc>
      </w:tr>
      <w:tr w14:paraId="16C5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907" w:hRule="atLeast"/>
        </w:trPr>
        <w:tc>
          <w:tcPr>
            <w:tcW w:w="9064" w:type="dxa"/>
            <w:shd w:val="clear" w:color="auto" w:fill="D8D8D8" w:themeFill="background1" w:themeFillShade="D9"/>
          </w:tcPr>
          <w:p w14:paraId="6845AB71">
            <w:pPr>
              <w:spacing w:line="360" w:lineRule="auto"/>
              <w:ind w:firstLine="480"/>
              <w:rPr>
                <w:rFonts w:ascii="仿宋_GB2312" w:hAnsi="Times New Roman" w:eastAsia="仿宋_GB2312" w:cs="Times New Roman"/>
                <w:color w:val="000007"/>
                <w:spacing w:val="-12"/>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b/>
                <w:bCs/>
                <w:spacing w:val="-12"/>
                <w:sz w:val="24"/>
                <w:szCs w:val="24"/>
              </w:rPr>
              <w:t>清洁能源化工产业生态圈。</w:t>
            </w:r>
            <w:r>
              <w:rPr>
                <w:rFonts w:hint="eastAsia" w:ascii="仿宋_GB2312" w:hAnsi="Times New Roman" w:eastAsia="仿宋_GB2312" w:cs="Times New Roman"/>
                <w:color w:val="000007"/>
                <w:spacing w:val="-12"/>
                <w:sz w:val="24"/>
                <w:szCs w:val="24"/>
              </w:rPr>
              <w:t>以兖矿 500 万吨甲醇项目为核心，建成90万吨甲醇、40万吨乙二醇产能，在建30万吨聚甲氧基二甲醚、60万吨醋酸产能。“十四五”期间，规划以煤制烯烃、煤制乙二醇项目为主，发展烯烃下游腈纶、ABS树脂等精细化学品，与发达的毛纺产业耦合向化纤方向延伸，适时发展醋酸及醋酸乙酯、醋酸乙烯等下游产业以及煤制氢项目。</w:t>
            </w:r>
          </w:p>
          <w:p w14:paraId="79D63225">
            <w:pPr>
              <w:spacing w:line="360" w:lineRule="auto"/>
              <w:ind w:firstLine="480"/>
              <w:rPr>
                <w:rFonts w:ascii="仿宋_GB2312" w:hAnsi="Times New Roman" w:eastAsia="仿宋_GB2312" w:cs="Times New Roman"/>
                <w:color w:val="000007"/>
                <w:spacing w:val="-12"/>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b/>
                <w:bCs/>
                <w:color w:val="000007"/>
                <w:spacing w:val="-12"/>
                <w:sz w:val="24"/>
                <w:szCs w:val="24"/>
              </w:rPr>
              <w:t>煤基新材料产业生态圈。</w:t>
            </w:r>
            <w:r>
              <w:rPr>
                <w:rFonts w:hint="eastAsia" w:ascii="仿宋_GB2312" w:hAnsi="Times New Roman" w:eastAsia="仿宋_GB2312" w:cs="Times New Roman"/>
                <w:color w:val="000007"/>
                <w:spacing w:val="-12"/>
                <w:sz w:val="24"/>
                <w:szCs w:val="24"/>
              </w:rPr>
              <w:t>以新奥60万吨甲醇项目为核心，建成60万吨甲醇、20万吨稳定轻烃、1000吨石墨烯、200吨阿维菌素产能，在建15万吨碳回收、20万吨杂醇回收、12万吨高聚合物有机硅、10万吨甲醇钠、25万吨二甲醚产能。“十四五”期间，规划发展化工新材料为基础，同时引进高分子材料、石墨烯粉体材料、硅材料，蓝宝石晶体等附加值高的产品项目，形成以轻质高强结构金属材料为主的先进金属材料产业集群，以工程塑料、新型纤维、功能膜材料为主的先进有机材料产业集群，以高性能无机纤维、高性能陶瓷为主的先进无机材料产业集群。</w:t>
            </w:r>
          </w:p>
          <w:p w14:paraId="03CC5E13">
            <w:pPr>
              <w:spacing w:line="360" w:lineRule="auto"/>
              <w:ind w:firstLine="480"/>
              <w:rPr>
                <w:rFonts w:ascii="仿宋_GB2312" w:hAnsi="Times New Roman" w:eastAsia="仿宋_GB2312" w:cs="Times New Roman"/>
                <w:color w:val="000007"/>
                <w:spacing w:val="-12"/>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b/>
                <w:bCs/>
                <w:color w:val="000007"/>
                <w:spacing w:val="-12"/>
                <w:sz w:val="24"/>
                <w:szCs w:val="24"/>
              </w:rPr>
              <w:t>氯碱化工产业生态圈。</w:t>
            </w:r>
            <w:r>
              <w:rPr>
                <w:rFonts w:hint="eastAsia" w:ascii="仿宋_GB2312" w:hAnsi="Times New Roman" w:eastAsia="仿宋_GB2312" w:cs="Times New Roman"/>
                <w:color w:val="000007"/>
                <w:spacing w:val="-12"/>
                <w:sz w:val="24"/>
                <w:szCs w:val="24"/>
              </w:rPr>
              <w:t>以亿利化学50万吨 PVC 项目为核心，建成上游产业64万吨电石、80万千瓦煤矸石发电产能，下游33万吨PVC深加工、45万吨烧碱、150万吨水泥产能。“十四五”期间，鼓励企业采用新技术进行节能降耗改造，加强与开发区煤制烯烃行业的融合发展，规划发展糊树脂等特种聚氯乙烯及聚氯乙烯软制品、双壁波纹管、塑钢型材等聚氯乙烯深加工产品和氯化聚乙烯生产项目。</w:t>
            </w:r>
          </w:p>
          <w:p w14:paraId="1FDF593D">
            <w:pPr>
              <w:spacing w:line="360" w:lineRule="auto"/>
              <w:ind w:firstLine="480"/>
              <w:rPr>
                <w:rFonts w:ascii="仿宋_GB2312" w:hAnsi="Times New Roman" w:eastAsia="仿宋_GB2312" w:cs="Times New Roman"/>
                <w:color w:val="000007"/>
                <w:spacing w:val="-12"/>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b/>
                <w:bCs/>
                <w:color w:val="000007"/>
                <w:spacing w:val="-12"/>
                <w:sz w:val="24"/>
                <w:szCs w:val="24"/>
              </w:rPr>
              <w:t>铝产业生态圈。</w:t>
            </w:r>
            <w:r>
              <w:rPr>
                <w:rFonts w:hint="eastAsia" w:ascii="仿宋_GB2312" w:hAnsi="Times New Roman" w:eastAsia="仿宋_GB2312" w:cs="Times New Roman"/>
                <w:color w:val="000007"/>
                <w:spacing w:val="-12"/>
                <w:sz w:val="24"/>
                <w:szCs w:val="24"/>
              </w:rPr>
              <w:t>以蒙泰100万吨原铝项目为核心，建成100万吨氧化铝、53万吨电解铝、4.2万吨高纯铝产能，在建20万吨新型铝合金产能。“十四五”期间，规划建设煤电灰铝一体化循环经济园，生产工业高纯铝、阴极产品等，同时推动铝产业下游铝材深加工产业的发展，重点发展汽车、航空、高铁、船舶制造等交通运输用铝合金型材。</w:t>
            </w:r>
          </w:p>
          <w:p w14:paraId="637F2DEA">
            <w:pPr>
              <w:pStyle w:val="10"/>
              <w:spacing w:line="360" w:lineRule="auto"/>
              <w:ind w:left="0" w:firstLine="480"/>
              <w:rPr>
                <w:rFonts w:ascii="Times New Roman" w:hAnsi="Times New Roman" w:cs="Times New Roman"/>
                <w:sz w:val="18"/>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b/>
                <w:bCs/>
                <w:color w:val="000007"/>
                <w:spacing w:val="-12"/>
                <w:sz w:val="24"/>
                <w:szCs w:val="24"/>
              </w:rPr>
              <w:t>新型建材产业生态圈。</w:t>
            </w:r>
            <w:r>
              <w:rPr>
                <w:rFonts w:hint="eastAsia" w:ascii="仿宋_GB2312" w:hAnsi="Times New Roman" w:eastAsia="仿宋_GB2312" w:cs="Times New Roman"/>
                <w:color w:val="000007"/>
                <w:spacing w:val="-12"/>
                <w:sz w:val="24"/>
                <w:szCs w:val="24"/>
              </w:rPr>
              <w:t>以建能兴辉新型墙体材料项目为核心，通过利用煤矸石、粉煤灰、废渣等废物资源生产新型墙体材料，同时大力发展PVC异型材、PVC管材管件、大口径 PVC管材、聚氯乙烯吹塑薄膜、聚氯乙烯家用塑料制品；依托石灰岩、花岗岩、粉煤灰、煤矸石以及冶炼矿渣等资源发展低辐射镀膜玻璃、花岗岩板材、空心砖等产品。</w:t>
            </w:r>
          </w:p>
        </w:tc>
      </w:tr>
      <w:tr w14:paraId="716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20" w:hRule="atLeast"/>
        </w:trPr>
        <w:tc>
          <w:tcPr>
            <w:tcW w:w="9064" w:type="dxa"/>
            <w:shd w:val="clear" w:color="auto" w:fill="FDEADA" w:themeFill="accent6" w:themeFillShade="D9" w:themeFillTint="32"/>
            <w:vAlign w:val="center"/>
          </w:tcPr>
          <w:p w14:paraId="7BAE26CB">
            <w:pPr>
              <w:pStyle w:val="10"/>
              <w:spacing w:line="240" w:lineRule="auto"/>
              <w:ind w:left="0" w:firstLine="514"/>
              <w:jc w:val="center"/>
              <w:rPr>
                <w:rFonts w:ascii="Times New Roman" w:hAnsi="Times New Roman" w:eastAsia="仿宋_GB2312" w:cs="Times New Roman"/>
                <w:bCs/>
              </w:rPr>
            </w:pPr>
            <w:r>
              <w:rPr>
                <w:rFonts w:ascii="Times New Roman" w:hAnsi="Times New Roman" w:eastAsia="仿宋_GB2312" w:cs="Times New Roman"/>
                <w:b/>
                <w:color w:val="000007"/>
                <w:spacing w:val="-12"/>
              </w:rPr>
              <w:t>重大工程</w:t>
            </w:r>
          </w:p>
        </w:tc>
      </w:tr>
      <w:tr w14:paraId="5BFE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04" w:hRule="atLeast"/>
        </w:trPr>
        <w:tc>
          <w:tcPr>
            <w:tcW w:w="9064" w:type="dxa"/>
            <w:shd w:val="clear" w:color="auto" w:fill="D8D8D8" w:themeFill="background1" w:themeFillShade="D9"/>
          </w:tcPr>
          <w:p w14:paraId="71E7587A">
            <w:pPr>
              <w:pStyle w:val="10"/>
              <w:spacing w:line="360" w:lineRule="auto"/>
              <w:ind w:left="0"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sz w:val="24"/>
                <w:szCs w:val="24"/>
              </w:rPr>
              <w:t>国家级千万千瓦清洁能源示范基地</w:t>
            </w:r>
          </w:p>
          <w:p w14:paraId="4BF072D2">
            <w:pPr>
              <w:pStyle w:val="10"/>
              <w:spacing w:line="360" w:lineRule="auto"/>
              <w:ind w:left="0"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sz w:val="24"/>
                <w:szCs w:val="24"/>
              </w:rPr>
              <w:t>国家能源安全新战略先行试验示范基地</w:t>
            </w:r>
          </w:p>
          <w:p w14:paraId="3BFA6C1C">
            <w:pPr>
              <w:pStyle w:val="10"/>
              <w:spacing w:line="360" w:lineRule="auto"/>
              <w:ind w:left="0"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自治区现代煤化工创新示范基地</w:t>
            </w:r>
          </w:p>
          <w:p w14:paraId="7758FA8C">
            <w:pPr>
              <w:pStyle w:val="10"/>
              <w:spacing w:line="360" w:lineRule="auto"/>
              <w:ind w:left="0"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内蒙古西部重要的新材料研发应用基地</w:t>
            </w:r>
          </w:p>
          <w:p w14:paraId="4178F15F">
            <w:pPr>
              <w:pStyle w:val="10"/>
              <w:spacing w:line="360" w:lineRule="auto"/>
              <w:ind w:left="0" w:firstLine="48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 中国西部“瓷都”</w:t>
            </w:r>
          </w:p>
          <w:p w14:paraId="5D171F9E">
            <w:pPr>
              <w:pStyle w:val="10"/>
              <w:spacing w:line="360" w:lineRule="auto"/>
              <w:ind w:left="0" w:firstLine="480"/>
              <w:rPr>
                <w:rFonts w:ascii="Times New Roman" w:hAnsi="Times New Roman" w:eastAsia="仿宋_GB2312" w:cs="Times New Roman"/>
                <w:bCs/>
              </w:rPr>
            </w:pPr>
            <w:r>
              <w:rPr>
                <w:rFonts w:hint="eastAsia" w:ascii="仿宋_GB2312" w:hAnsi="Times New Roman" w:eastAsia="仿宋_GB2312" w:cs="Times New Roman"/>
                <w:bCs/>
                <w:sz w:val="24"/>
                <w:szCs w:val="24"/>
              </w:rPr>
              <w:t xml:space="preserve">◆ </w:t>
            </w:r>
            <w:r>
              <w:rPr>
                <w:rFonts w:hint="eastAsia" w:ascii="仿宋_GB2312" w:hAnsi="Times New Roman" w:eastAsia="仿宋_GB2312" w:cs="Times New Roman"/>
                <w:sz w:val="24"/>
                <w:szCs w:val="24"/>
              </w:rPr>
              <w:t>自治区示范型、成长型数字经济园区</w:t>
            </w:r>
          </w:p>
        </w:tc>
      </w:tr>
    </w:tbl>
    <w:p w14:paraId="38DD75E4">
      <w:pPr>
        <w:pStyle w:val="4"/>
        <w:spacing w:line="600" w:lineRule="exact"/>
        <w:rPr>
          <w:rFonts w:ascii="楷体_GB2312" w:hAnsi="楷体_GB2312" w:eastAsia="楷体_GB2312" w:cs="楷体_GB2312"/>
        </w:rPr>
      </w:pPr>
      <w:bookmarkStart w:id="193" w:name="_Toc59098761"/>
      <w:bookmarkStart w:id="194" w:name="_Toc1501448792"/>
      <w:bookmarkStart w:id="195" w:name="_Toc25788"/>
      <w:bookmarkStart w:id="196" w:name="_Toc19365"/>
      <w:bookmarkStart w:id="197" w:name="_Toc17467"/>
      <w:bookmarkStart w:id="198" w:name="_Toc2788"/>
      <w:bookmarkStart w:id="199" w:name="_Toc32624"/>
      <w:bookmarkStart w:id="200" w:name="_Toc9831"/>
      <w:r>
        <w:rPr>
          <w:rFonts w:hint="eastAsia" w:ascii="楷体_GB2312" w:hAnsi="楷体_GB2312" w:eastAsia="楷体_GB2312" w:cs="楷体_GB2312"/>
        </w:rPr>
        <w:t>第三节 构建大旅游格局，加快</w:t>
      </w:r>
      <w:r>
        <w:rPr>
          <w:rFonts w:hint="eastAsia" w:ascii="楷体_GB2312" w:hAnsi="楷体_GB2312" w:eastAsia="楷体_GB2312" w:cs="楷体_GB2312"/>
          <w:lang w:val="en-US"/>
        </w:rPr>
        <w:t>健全</w:t>
      </w:r>
      <w:r>
        <w:rPr>
          <w:rFonts w:hint="eastAsia" w:ascii="楷体_GB2312" w:hAnsi="楷体_GB2312" w:eastAsia="楷体_GB2312" w:cs="楷体_GB2312"/>
        </w:rPr>
        <w:t>多元旅游产品谱系</w:t>
      </w:r>
      <w:bookmarkEnd w:id="193"/>
      <w:bookmarkEnd w:id="194"/>
      <w:bookmarkEnd w:id="195"/>
      <w:bookmarkEnd w:id="196"/>
      <w:bookmarkEnd w:id="197"/>
      <w:bookmarkEnd w:id="198"/>
      <w:bookmarkEnd w:id="199"/>
      <w:bookmarkEnd w:id="200"/>
    </w:p>
    <w:p w14:paraId="33BBE272">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突出“沙漠旅游”主导地位，按照全区域规划、全地域覆盖、全景化打造、全社会参与的理念，统筹沙漠、生态、文化、产业、自然资源等要素，高标准编制全域旅游发展规划，全力构建“两带一区多线”全域旅游总体格局。</w:t>
      </w:r>
    </w:p>
    <w:p w14:paraId="6685C6FB">
      <w:pPr>
        <w:spacing w:line="600" w:lineRule="exact"/>
        <w:ind w:firstLine="643"/>
        <w:rPr>
          <w:rFonts w:ascii="仿宋_GB2312" w:hAnsi="仿宋_GB2312" w:eastAsia="仿宋_GB2312" w:cs="仿宋_GB2312"/>
          <w:szCs w:val="32"/>
        </w:rPr>
      </w:pPr>
      <w:bookmarkStart w:id="201" w:name="_Toc23123"/>
      <w:bookmarkStart w:id="202" w:name="_Toc19177"/>
      <w:bookmarkStart w:id="203" w:name="_Toc4361"/>
      <w:r>
        <w:rPr>
          <w:rStyle w:val="34"/>
          <w:rFonts w:hint="eastAsia" w:ascii="楷体_GB2312" w:hAnsi="楷体_GB2312" w:eastAsia="楷体_GB2312" w:cs="楷体_GB2312"/>
        </w:rPr>
        <w:t>加快全域旅游发展步伐</w:t>
      </w:r>
      <w:bookmarkEnd w:id="201"/>
      <w:bookmarkEnd w:id="202"/>
      <w:bookmarkEnd w:id="203"/>
      <w:r>
        <w:rPr>
          <w:rFonts w:hint="eastAsia" w:ascii="楷体_GB2312" w:hAnsi="楷体_GB2312" w:eastAsia="楷体_GB2312" w:cs="楷体_GB2312"/>
          <w:b/>
          <w:bCs/>
        </w:rPr>
        <w:t>。</w:t>
      </w:r>
      <w:r>
        <w:rPr>
          <w:rFonts w:hint="eastAsia" w:ascii="仿宋_GB2312" w:hAnsi="仿宋_GB2312" w:eastAsia="仿宋_GB2312" w:cs="仿宋_GB2312"/>
          <w:szCs w:val="32"/>
        </w:rPr>
        <w:t>坚持全域旅游开发一体化设计、一体化运营，鼓励推广行业协会、企业联盟等组团营销模式，协调发展沙漠体验、大河景观、乡村度假、研学康养、民俗文化、历史遗迹等旅游业态，推动完善四季游、一日游，有序开发夜间游，全力拓展全季、全时旅游产业链条。坚持跨区域联动，整体打造全旗特色鲜明大景区，推动实施全旗景区链接工程，加强旅游连接线等配套基础设施建设，注重沿途沿线“珍珠链”式景观节点及绿化、美化、亮化改造，加大特色旅游街区、旅游小镇、旅游村庄培育力度，形成全旗到处是风景、随时随地可旅游的良好局面，争创库布其沙漠国际旅游休闲度假目的地和国家全域旅游示范区。到2025年，全旗年接待游客人数达到</w:t>
      </w:r>
      <w:r>
        <w:rPr>
          <w:rFonts w:hint="eastAsia" w:ascii="仿宋_GB2312" w:hAnsi="仿宋_GB2312" w:eastAsia="仿宋_GB2312" w:cs="仿宋_GB2312"/>
          <w:szCs w:val="32"/>
          <w:lang w:val="en-US"/>
        </w:rPr>
        <w:t>400</w:t>
      </w:r>
      <w:r>
        <w:rPr>
          <w:rFonts w:hint="eastAsia" w:ascii="仿宋_GB2312" w:hAnsi="仿宋_GB2312" w:eastAsia="仿宋_GB2312" w:cs="仿宋_GB2312"/>
          <w:szCs w:val="32"/>
        </w:rPr>
        <w:t>万人次以上，文化旅游产业增加值占到</w:t>
      </w:r>
      <w:r>
        <w:rPr>
          <w:rFonts w:hint="eastAsia" w:ascii="仿宋_GB2312" w:hAnsi="仿宋_GB2312" w:eastAsia="仿宋_GB2312" w:cs="仿宋_GB2312"/>
          <w:szCs w:val="32"/>
          <w:lang w:val="en-US"/>
        </w:rPr>
        <w:t>服务业增加值总量的</w:t>
      </w:r>
      <w:r>
        <w:rPr>
          <w:rFonts w:hint="eastAsia" w:ascii="仿宋_GB2312" w:hAnsi="仿宋_GB2312" w:eastAsia="仿宋_GB2312" w:cs="仿宋_GB2312"/>
          <w:szCs w:val="32"/>
        </w:rPr>
        <w:t>15%以上。</w:t>
      </w:r>
    </w:p>
    <w:p w14:paraId="001CC20A">
      <w:pPr>
        <w:spacing w:line="620" w:lineRule="exact"/>
        <w:ind w:firstLine="643"/>
        <w:rPr>
          <w:rFonts w:ascii="仿宋_GB2312" w:hAnsi="仿宋_GB2312" w:eastAsia="仿宋_GB2312" w:cs="仿宋_GB2312"/>
        </w:rPr>
      </w:pPr>
      <w:bookmarkStart w:id="204" w:name="_Toc23191"/>
      <w:bookmarkStart w:id="205" w:name="_Toc5056"/>
      <w:bookmarkStart w:id="206" w:name="_Toc8911"/>
      <w:bookmarkStart w:id="207" w:name="_Toc22912"/>
      <w:bookmarkStart w:id="208" w:name="_Toc28931"/>
      <w:r>
        <w:rPr>
          <w:rStyle w:val="34"/>
          <w:rFonts w:hint="eastAsia" w:ascii="楷体_GB2312" w:hAnsi="楷体_GB2312" w:eastAsia="楷体_GB2312" w:cs="楷体_GB2312"/>
        </w:rPr>
        <w:t>全力做好沙漠旅游大文章</w:t>
      </w:r>
      <w:bookmarkEnd w:id="204"/>
      <w:bookmarkEnd w:id="205"/>
      <w:bookmarkEnd w:id="206"/>
      <w:r>
        <w:rPr>
          <w:rFonts w:hint="eastAsia" w:ascii="楷体_GB2312" w:hAnsi="楷体_GB2312" w:eastAsia="楷体_GB2312" w:cs="楷体_GB2312"/>
          <w:b/>
          <w:bCs/>
        </w:rPr>
        <w:t>。</w:t>
      </w:r>
      <w:r>
        <w:rPr>
          <w:rFonts w:hint="eastAsia" w:ascii="仿宋_GB2312" w:hAnsi="仿宋_GB2312" w:eastAsia="仿宋_GB2312" w:cs="仿宋_GB2312"/>
          <w:szCs w:val="32"/>
        </w:rPr>
        <w:t>以库布其沙漠北部边缘为核心区、主阵地，协调推动沿线沙漠旅游景区差异化、融合化、互补化发展，形成响沙湾为龙头，恩格贝、光伏产业园、银肯塔拉、龙头拐、王爱召等“一超多强”特色主题旅游精品产业组合团。深入挖掘草原游牧文化、民族宗教文化和库布其治沙文化张力，持续创新和丰富沙漠旅游项目门类，错位开发沙漠旅游新产品，不断扩大响沙湾、恩格贝旅游区影响力，拓展提升银肯塔拉蒙元文化旅游区发展水平，加快王爱召文化产业园开发建设，大力推动光伏基地绿色工业旅游项目，再造达拉特沙漠旅游新名片。打通“吃住行游购娱、商养学闲情奇”全产业要素链条，提升库布其沙漠沿线旅游交通网络，加强游客集散服务设施建设，提质升级特色饮食、主题酒店、消费购物等传统业态，大力开发休闲娱乐、户外运动、美食品鉴、汽车越野、养生度假、商务会展、拓展训练、摄影采风、探奇探险探秘等旅游新产品，满足不同群体个性化、多样化旅游需求，增强库布其沙漠旅游吸引力。</w:t>
      </w:r>
      <w:bookmarkEnd w:id="207"/>
      <w:bookmarkEnd w:id="208"/>
    </w:p>
    <w:p w14:paraId="609D8461">
      <w:pPr>
        <w:spacing w:line="620" w:lineRule="exact"/>
        <w:ind w:firstLine="643"/>
        <w:rPr>
          <w:rFonts w:ascii="仿宋_GB2312" w:hAnsi="仿宋_GB2312" w:eastAsia="仿宋_GB2312" w:cs="仿宋_GB2312"/>
          <w:szCs w:val="32"/>
        </w:rPr>
      </w:pPr>
      <w:bookmarkStart w:id="209" w:name="_Toc28181"/>
      <w:bookmarkStart w:id="210" w:name="_Toc28376"/>
      <w:bookmarkStart w:id="211" w:name="_Toc2630"/>
      <w:r>
        <w:rPr>
          <w:rStyle w:val="34"/>
          <w:rFonts w:hint="eastAsia" w:ascii="楷体_GB2312" w:hAnsi="楷体_GB2312" w:eastAsia="楷体_GB2312" w:cs="楷体_GB2312"/>
        </w:rPr>
        <w:t>提升文化旅游融合品质</w:t>
      </w:r>
      <w:bookmarkEnd w:id="209"/>
      <w:bookmarkEnd w:id="210"/>
      <w:bookmarkEnd w:id="211"/>
      <w:r>
        <w:rPr>
          <w:rFonts w:hint="eastAsia" w:ascii="楷体_GB2312" w:hAnsi="楷体_GB2312" w:eastAsia="楷体_GB2312" w:cs="楷体_GB2312"/>
          <w:b/>
          <w:bCs/>
        </w:rPr>
        <w:t>。</w:t>
      </w:r>
      <w:r>
        <w:rPr>
          <w:rFonts w:hint="eastAsia" w:ascii="仿宋_GB2312" w:hAnsi="仿宋_GB2312" w:eastAsia="仿宋_GB2312" w:cs="仿宋_GB2312"/>
          <w:szCs w:val="32"/>
        </w:rPr>
        <w:t>抓住自治区创建“黄河几字弯”国家公园和黄河文化遗产廊道战略机遇，立足优越区位优势，按照全旗“大旅游”的理念，统筹推进黄河水生态治理、现代农牧业发展、民俗文化保护与开发和道路、水系等基础设施建设，着力打造“黄河几字弯”生态观光和文化休闲核心旅游区。大力加强黄河岸堤和生态湿地旅游景观改造，高水平策划黄河湿地公园布局，重点加强昭君和蒲圪卜蓄滞洪区野生候鸟湿地景观改造，推动实施田家营子—马兰湖黄河都市生态休闲旅游区建设，着力完善堤岸生态廊道、环湖绿色公路以及观光亭台、休闲驿站等设施，提高生态旅游广度、深度。加大秦直道、秦汉长城、城拐古城、昭君古渡、西口文化等历史文化资源开发与保护力度，大力弘扬剪纸、道情等非物质文化遗产，融合地方历史、戏曲、名人、古建筑、民俗风情等文化元素，实现文化景观到文化产业的全面升级，丰富文化旅游内涵，提升文化旅游品味。加快都市休闲农业发展，推动四村香瓜、二狗湾</w:t>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大米、保善堂蔬菜、大树湾黄河鱼、树林召稻田虾等特色生态产业跨门类发展，着力开发主题农场、乡村乐居、自然学堂等田园综合体旅游产品，创建国家文化旅游产业融合发展示范区。</w:t>
      </w:r>
    </w:p>
    <w:p w14:paraId="212A2341">
      <w:pPr>
        <w:spacing w:line="620" w:lineRule="exact"/>
        <w:ind w:firstLine="643"/>
      </w:pPr>
      <w:bookmarkStart w:id="212" w:name="_Toc3001"/>
      <w:bookmarkStart w:id="213" w:name="_Toc2270"/>
      <w:bookmarkStart w:id="214" w:name="_Toc13620"/>
      <w:r>
        <w:rPr>
          <w:rStyle w:val="34"/>
          <w:rFonts w:hint="eastAsia" w:ascii="楷体_GB2312" w:hAnsi="楷体_GB2312" w:eastAsia="楷体_GB2312" w:cs="楷体_GB2312"/>
        </w:rPr>
        <w:t>扩大旅游品牌影响力</w:t>
      </w:r>
      <w:bookmarkEnd w:id="212"/>
      <w:bookmarkEnd w:id="213"/>
      <w:bookmarkEnd w:id="214"/>
      <w:r>
        <w:rPr>
          <w:rFonts w:hint="eastAsia" w:ascii="楷体_GB2312" w:hAnsi="楷体_GB2312" w:eastAsia="楷体_GB2312" w:cs="楷体_GB2312"/>
          <w:b/>
          <w:bCs/>
        </w:rPr>
        <w:t>。</w:t>
      </w:r>
      <w:r>
        <w:rPr>
          <w:rFonts w:hint="eastAsia" w:ascii="仿宋_GB2312" w:hAnsi="仿宋_GB2312" w:eastAsia="仿宋_GB2312" w:cs="仿宋_GB2312"/>
          <w:szCs w:val="32"/>
        </w:rPr>
        <w:t>大力提升公共旅游产品和服务供给，持续加强旅游要素在中心城区文化功能区、文化产业园区、文化景区等文化产品开发建设中的吸收融入，将文化产品延伸为旅游产品，全力打造属于达拉特的城市旅游新名片。积极培育文化旅游演艺市场，加快大剧院、演艺广场、文化产业园等文化基础设施建设，扶持文化企业和民间文艺队、示范文化户发展，鼓励创作具有浓厚地方特色的剧目向游人开放演出。引导各类演艺团体走向景区、走向旅游市场，以景区+旅游演艺、主题公园+旅游演艺等商业运作模式，提升旅游演艺的附加价值，满足游客文化娱乐需求，增强达拉特的美誉度和影响力。实施文化旅游品牌“走出去”战略,做好文化旅游产品和线路包装, 大力开发集文化符号与实用价值于一体的纪念品、伴手礼，充分展示达拉特文化旅游品牌形象,扩大文化旅游品牌的覆盖面和影响力。大力开发冬季旅游项目，让“冷冰雪”变“热旅游”，弥补冬季旅游短板，突破淡旺季旅游差距，实现旅游资源四不同景、季季有新颜。推动实施全旗景区“一票制”、“全年制”，发挥“手游达拉特”智慧旅游平台作用，加强线上线下宣传营销，建立相对柔性、松散的良性竞合关系，增强多元旅游资源组合吸引力。</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37D5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46" w:hRule="atLeast"/>
        </w:trPr>
        <w:tc>
          <w:tcPr>
            <w:tcW w:w="9064" w:type="dxa"/>
            <w:shd w:val="clear" w:color="auto" w:fill="FDE9D9" w:themeFill="accent6" w:themeFillShade="D9" w:themeFillTint="33"/>
            <w:vAlign w:val="center"/>
          </w:tcPr>
          <w:p w14:paraId="1A608FC7">
            <w:pPr>
              <w:spacing w:line="240" w:lineRule="auto"/>
              <w:ind w:firstLine="56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专栏4：国家全域旅游示范区</w:t>
            </w:r>
          </w:p>
        </w:tc>
      </w:tr>
      <w:tr w14:paraId="74A0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68" w:hRule="atLeast"/>
        </w:trPr>
        <w:tc>
          <w:tcPr>
            <w:tcW w:w="9064" w:type="dxa"/>
            <w:shd w:val="clear" w:color="auto" w:fill="FDE9D9" w:themeFill="accent6" w:themeFillShade="D9" w:themeFillTint="33"/>
            <w:vAlign w:val="center"/>
          </w:tcPr>
          <w:p w14:paraId="19A41D6A">
            <w:pPr>
              <w:spacing w:line="240" w:lineRule="auto"/>
              <w:ind w:firstLine="56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“两带一区多线”全域</w:t>
            </w:r>
            <w:r>
              <w:rPr>
                <w:rFonts w:ascii="Times New Roman" w:hAnsi="Times New Roman" w:eastAsia="仿宋_GB2312" w:cs="Times New Roman"/>
                <w:b/>
                <w:bCs/>
                <w:sz w:val="28"/>
                <w:szCs w:val="28"/>
              </w:rPr>
              <w:t>旅游</w:t>
            </w:r>
            <w:r>
              <w:rPr>
                <w:rFonts w:ascii="Times New Roman" w:hAnsi="Times New Roman" w:eastAsia="仿宋_GB2312" w:cs="Times New Roman"/>
                <w:b/>
                <w:sz w:val="28"/>
                <w:szCs w:val="28"/>
              </w:rPr>
              <w:t>总体</w:t>
            </w:r>
            <w:r>
              <w:rPr>
                <w:rFonts w:ascii="Times New Roman" w:hAnsi="Times New Roman" w:eastAsia="仿宋_GB2312" w:cs="Times New Roman"/>
                <w:b/>
                <w:bCs/>
                <w:sz w:val="28"/>
                <w:szCs w:val="28"/>
              </w:rPr>
              <w:t>格局</w:t>
            </w:r>
          </w:p>
        </w:tc>
      </w:tr>
      <w:tr w14:paraId="6F3C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1903" w:hRule="atLeast"/>
        </w:trPr>
        <w:tc>
          <w:tcPr>
            <w:tcW w:w="9064" w:type="dxa"/>
            <w:shd w:val="clear" w:color="auto" w:fill="D8D8D8" w:themeFill="background1" w:themeFillShade="D9"/>
          </w:tcPr>
          <w:p w14:paraId="20902D58">
            <w:pPr>
              <w:pStyle w:val="62"/>
              <w:numPr>
                <w:ilvl w:val="0"/>
                <w:numId w:val="1"/>
              </w:numPr>
              <w:spacing w:line="360" w:lineRule="auto"/>
              <w:ind w:firstLineChars="0"/>
              <w:jc w:val="left"/>
              <w:rPr>
                <w:rFonts w:ascii="仿宋_GB2312" w:hAnsi="Times New Roman" w:eastAsia="仿宋_GB2312" w:cs="Times New Roman"/>
                <w:b/>
                <w:sz w:val="24"/>
                <w:szCs w:val="24"/>
              </w:rPr>
            </w:pPr>
            <w:r>
              <w:rPr>
                <w:rFonts w:hint="eastAsia" w:ascii="仿宋_GB2312" w:hAnsi="Times New Roman" w:eastAsia="仿宋_GB2312" w:cs="Times New Roman"/>
                <w:sz w:val="24"/>
                <w:szCs w:val="24"/>
              </w:rPr>
              <w:t xml:space="preserve">加大库布其沙漠旅游开发力度，深入挖掘黄河湿地和十大孔兑旅游资源潜  </w:t>
            </w:r>
          </w:p>
          <w:p w14:paraId="3E89EBEA">
            <w:pPr>
              <w:spacing w:line="360" w:lineRule="auto"/>
              <w:ind w:firstLine="0" w:firstLineChars="0"/>
              <w:rPr>
                <w:rFonts w:ascii="仿宋_GB2312" w:hAnsi="Times New Roman" w:eastAsia="仿宋_GB2312" w:cs="Times New Roman"/>
                <w:b/>
                <w:sz w:val="24"/>
                <w:szCs w:val="24"/>
              </w:rPr>
            </w:pPr>
            <w:r>
              <w:rPr>
                <w:rFonts w:hint="eastAsia" w:ascii="仿宋_GB2312" w:hAnsi="Times New Roman" w:eastAsia="仿宋_GB2312" w:cs="Times New Roman"/>
                <w:sz w:val="24"/>
                <w:szCs w:val="24"/>
              </w:rPr>
              <w:t>力，将孔兑生态景观建设成为链接黄河与沙漠的纽带，形成横跨东西的沙漠国际休闲度假和户外运动体验旅游带、黄河风情和生态农牧业休闲观光带、额林滩-柴登草原湿地保护旅游区、十条黄河孔兑休闲观光度假旅游线的总体格局。</w:t>
            </w:r>
          </w:p>
        </w:tc>
      </w:tr>
      <w:tr w14:paraId="7D9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42" w:hRule="atLeast"/>
        </w:trPr>
        <w:tc>
          <w:tcPr>
            <w:tcW w:w="9064" w:type="dxa"/>
            <w:shd w:val="clear" w:color="auto" w:fill="FDEADA" w:themeFill="accent6" w:themeFillShade="D9" w:themeFillTint="32"/>
            <w:vAlign w:val="center"/>
          </w:tcPr>
          <w:p w14:paraId="47617C3F">
            <w:pPr>
              <w:spacing w:line="240" w:lineRule="auto"/>
              <w:ind w:firstLine="562"/>
              <w:jc w:val="center"/>
              <w:rPr>
                <w:rFonts w:ascii="Times New Roman" w:hAnsi="Times New Roman" w:eastAsia="仿宋_GB2312" w:cs="Times New Roman"/>
                <w:sz w:val="28"/>
                <w:szCs w:val="28"/>
              </w:rPr>
            </w:pPr>
            <w:r>
              <w:rPr>
                <w:rFonts w:ascii="Times New Roman" w:hAnsi="Times New Roman" w:eastAsia="仿宋_GB2312" w:cs="Times New Roman"/>
                <w:b/>
                <w:sz w:val="28"/>
                <w:szCs w:val="28"/>
              </w:rPr>
              <w:t>重大战略、重大工程</w:t>
            </w:r>
          </w:p>
        </w:tc>
      </w:tr>
      <w:tr w14:paraId="59A0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2880" w:hRule="atLeast"/>
        </w:trPr>
        <w:tc>
          <w:tcPr>
            <w:tcW w:w="9064" w:type="dxa"/>
            <w:shd w:val="clear" w:color="auto" w:fill="D8D8D8" w:themeFill="background1" w:themeFillShade="D9"/>
          </w:tcPr>
          <w:p w14:paraId="0A8AB1D5">
            <w:pPr>
              <w:spacing w:line="360" w:lineRule="auto"/>
              <w:ind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库布其沙漠国际旅游休闲度假目的地、“黄河几字弯”生态观光和文化休闲核心旅游区、国家</w:t>
            </w:r>
            <w:r>
              <w:rPr>
                <w:rFonts w:hint="eastAsia" w:ascii="仿宋_GB2312" w:hAnsi="Times New Roman" w:eastAsia="仿宋_GB2312" w:cs="Times New Roman"/>
                <w:spacing w:val="-11"/>
                <w:sz w:val="24"/>
                <w:szCs w:val="24"/>
              </w:rPr>
              <w:t>文化旅游产业融合发展示范</w:t>
            </w:r>
            <w:r>
              <w:rPr>
                <w:rFonts w:hint="eastAsia" w:ascii="仿宋_GB2312" w:hAnsi="Times New Roman" w:eastAsia="仿宋_GB2312" w:cs="Times New Roman"/>
                <w:spacing w:val="-6"/>
                <w:sz w:val="24"/>
                <w:szCs w:val="24"/>
              </w:rPr>
              <w:t>区</w:t>
            </w:r>
            <w:r>
              <w:rPr>
                <w:rFonts w:hint="eastAsia" w:ascii="仿宋_GB2312" w:hAnsi="Times New Roman" w:eastAsia="仿宋_GB2312" w:cs="Times New Roman"/>
                <w:sz w:val="24"/>
                <w:szCs w:val="24"/>
              </w:rPr>
              <w:t>。</w:t>
            </w:r>
          </w:p>
          <w:p w14:paraId="33E31848">
            <w:pPr>
              <w:spacing w:line="360" w:lineRule="auto"/>
              <w:ind w:firstLine="480"/>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 昭君、蒲圪卜蓄滞洪区野生候鸟湿地旅游区、田家营子—马兰湖黄河都市生态休闲旅游区。</w:t>
            </w:r>
          </w:p>
          <w:p w14:paraId="3AE28384">
            <w:pPr>
              <w:spacing w:line="360" w:lineRule="auto"/>
              <w:ind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全旗景区链接工程、城市旅游景观改造工程。</w:t>
            </w:r>
          </w:p>
          <w:p w14:paraId="76E5FA33">
            <w:pPr>
              <w:spacing w:line="360" w:lineRule="auto"/>
              <w:ind w:firstLine="480"/>
              <w:rPr>
                <w:rFonts w:ascii="Times New Roman" w:hAnsi="Times New Roman" w:eastAsia="仿宋_GB2312" w:cs="Times New Roman"/>
                <w:sz w:val="28"/>
                <w:szCs w:val="28"/>
              </w:rPr>
            </w:pPr>
            <w:r>
              <w:rPr>
                <w:rFonts w:hint="eastAsia" w:ascii="仿宋_GB2312" w:hAnsi="Times New Roman" w:eastAsia="仿宋_GB2312" w:cs="Times New Roman"/>
                <w:sz w:val="24"/>
                <w:szCs w:val="24"/>
              </w:rPr>
              <w:t>◆ 文化旅游品牌“走出去”战略。</w:t>
            </w:r>
          </w:p>
        </w:tc>
      </w:tr>
    </w:tbl>
    <w:p w14:paraId="771F0C91">
      <w:pPr>
        <w:pStyle w:val="4"/>
        <w:spacing w:line="600" w:lineRule="exact"/>
        <w:rPr>
          <w:rFonts w:ascii="楷体_GB2312" w:hAnsi="楷体_GB2312" w:eastAsia="楷体_GB2312" w:cs="楷体_GB2312"/>
          <w:color w:val="000007"/>
        </w:rPr>
      </w:pPr>
      <w:bookmarkStart w:id="215" w:name="_Toc2896"/>
      <w:bookmarkStart w:id="216" w:name="_Toc20123"/>
      <w:bookmarkStart w:id="217" w:name="_Toc31742"/>
      <w:bookmarkStart w:id="218" w:name="_Toc29818"/>
      <w:bookmarkStart w:id="219" w:name="_Toc59098762"/>
      <w:bookmarkStart w:id="220" w:name="_Toc25638"/>
      <w:bookmarkStart w:id="221" w:name="_Toc1916994894"/>
      <w:bookmarkStart w:id="222" w:name="_Toc31196"/>
      <w:r>
        <w:rPr>
          <w:rFonts w:hint="eastAsia" w:ascii="楷体_GB2312" w:hAnsi="楷体_GB2312" w:eastAsia="楷体_GB2312" w:cs="楷体_GB2312"/>
        </w:rPr>
        <w:t xml:space="preserve">第四节 </w:t>
      </w:r>
      <w:r>
        <w:rPr>
          <w:rFonts w:hint="eastAsia" w:ascii="楷体_GB2312" w:hAnsi="楷体_GB2312" w:eastAsia="楷体_GB2312" w:cs="楷体_GB2312"/>
          <w:lang w:val="en-US"/>
        </w:rPr>
        <w:t>加强</w:t>
      </w:r>
      <w:r>
        <w:rPr>
          <w:rFonts w:hint="eastAsia" w:ascii="楷体_GB2312" w:hAnsi="楷体_GB2312" w:eastAsia="楷体_GB2312" w:cs="楷体_GB2312"/>
        </w:rPr>
        <w:t>大服务配套，</w:t>
      </w:r>
      <w:r>
        <w:rPr>
          <w:rFonts w:hint="eastAsia" w:ascii="楷体_GB2312" w:hAnsi="楷体_GB2312" w:eastAsia="楷体_GB2312" w:cs="楷体_GB2312"/>
          <w:lang w:val="en-US"/>
        </w:rPr>
        <w:t>全力完善生产生活服务体系</w:t>
      </w:r>
      <w:bookmarkEnd w:id="215"/>
      <w:bookmarkEnd w:id="216"/>
      <w:bookmarkEnd w:id="217"/>
      <w:bookmarkEnd w:id="218"/>
      <w:bookmarkEnd w:id="219"/>
      <w:bookmarkEnd w:id="220"/>
      <w:bookmarkEnd w:id="221"/>
      <w:bookmarkEnd w:id="222"/>
    </w:p>
    <w:p w14:paraId="16772B55">
      <w:pPr>
        <w:spacing w:line="600" w:lineRule="exact"/>
        <w:ind w:firstLine="640"/>
        <w:rPr>
          <w:rFonts w:ascii="仿宋_GB2312" w:hAnsi="仿宋_GB2312" w:eastAsia="仿宋_GB2312" w:cs="仿宋_GB2312"/>
          <w:szCs w:val="32"/>
          <w:lang w:val="en-US"/>
        </w:rPr>
      </w:pPr>
      <w:bookmarkStart w:id="223" w:name="_Toc28426"/>
      <w:bookmarkStart w:id="224" w:name="_Toc32046"/>
      <w:bookmarkStart w:id="225" w:name="_Toc27837"/>
      <w:bookmarkStart w:id="226" w:name="_Toc10167"/>
      <w:bookmarkStart w:id="227" w:name="_Toc32094"/>
      <w:r>
        <w:rPr>
          <w:rFonts w:hint="eastAsia" w:ascii="仿宋_GB2312" w:hAnsi="仿宋_GB2312" w:eastAsia="仿宋_GB2312" w:cs="仿宋_GB2312"/>
          <w:szCs w:val="32"/>
        </w:rPr>
        <w:t>以打造呼包鄂</w:t>
      </w:r>
      <w:r>
        <w:rPr>
          <w:rFonts w:hint="eastAsia" w:ascii="仿宋_GB2312" w:hAnsi="仿宋_GB2312" w:eastAsia="仿宋_GB2312" w:cs="仿宋_GB2312"/>
          <w:szCs w:val="32"/>
          <w:lang w:val="en-US"/>
        </w:rPr>
        <w:t>配套</w:t>
      </w:r>
      <w:r>
        <w:rPr>
          <w:rFonts w:hint="eastAsia" w:ascii="仿宋_GB2312" w:hAnsi="仿宋_GB2312" w:eastAsia="仿宋_GB2312" w:cs="仿宋_GB2312"/>
          <w:szCs w:val="32"/>
        </w:rPr>
        <w:t>服务关键节点为抓手，进一步完善服务业政策支撑体系，围绕生产性服务业共性需求及关键环节，加强网络信息技术集成应用，推进电子商务、现代物流等产业发展。大力开展服务模式创新，培育发展数字文化、数字医疗与健康、数字生活、培训与就业、社保等新兴生活性服务业，做大做强本地文化旅游业、商贸物流业、健康养老等产业，努力形成产业竞争力、市场聚集力、消费新活力。</w:t>
      </w:r>
      <w:bookmarkEnd w:id="223"/>
      <w:bookmarkEnd w:id="224"/>
      <w:bookmarkEnd w:id="225"/>
      <w:bookmarkEnd w:id="226"/>
      <w:bookmarkEnd w:id="227"/>
      <w:r>
        <w:rPr>
          <w:rFonts w:hint="eastAsia" w:ascii="仿宋_GB2312" w:hAnsi="仿宋_GB2312" w:eastAsia="仿宋_GB2312" w:cs="仿宋_GB2312"/>
          <w:szCs w:val="32"/>
        </w:rPr>
        <w:t>到</w:t>
      </w:r>
      <w:r>
        <w:rPr>
          <w:rFonts w:hint="eastAsia" w:ascii="仿宋_GB2312" w:hAnsi="仿宋_GB2312" w:eastAsia="仿宋_GB2312" w:cs="仿宋_GB2312"/>
          <w:szCs w:val="32"/>
          <w:lang w:val="en-US"/>
        </w:rPr>
        <w:t>2025年，物流业产值达到200亿元以上。</w:t>
      </w:r>
    </w:p>
    <w:p w14:paraId="30110E51">
      <w:pPr>
        <w:spacing w:line="600" w:lineRule="exact"/>
        <w:ind w:firstLine="643"/>
        <w:rPr>
          <w:rFonts w:ascii="仿宋_GB2312" w:hAnsi="仿宋_GB2312" w:eastAsia="仿宋_GB2312" w:cs="仿宋_GB2312"/>
          <w:szCs w:val="32"/>
        </w:rPr>
      </w:pPr>
      <w:bookmarkStart w:id="228" w:name="_Toc18962"/>
      <w:bookmarkStart w:id="229" w:name="_Toc21231"/>
      <w:bookmarkStart w:id="230" w:name="_Toc21091"/>
      <w:bookmarkStart w:id="231" w:name="_Toc29779"/>
      <w:bookmarkStart w:id="232" w:name="_Toc6729"/>
      <w:r>
        <w:rPr>
          <w:rStyle w:val="34"/>
          <w:rFonts w:hint="eastAsia" w:ascii="楷体_GB2312" w:hAnsi="楷体_GB2312" w:eastAsia="楷体_GB2312" w:cs="楷体_GB2312"/>
        </w:rPr>
        <w:t>培育壮大</w:t>
      </w:r>
      <w:r>
        <w:rPr>
          <w:rStyle w:val="34"/>
          <w:rFonts w:hint="eastAsia" w:ascii="楷体_GB2312" w:hAnsi="楷体_GB2312" w:eastAsia="楷体_GB2312" w:cs="楷体_GB2312"/>
          <w:lang w:val="en-US"/>
        </w:rPr>
        <w:t>现代</w:t>
      </w:r>
      <w:r>
        <w:rPr>
          <w:rStyle w:val="34"/>
          <w:rFonts w:hint="eastAsia" w:ascii="楷体_GB2312" w:hAnsi="楷体_GB2312" w:eastAsia="楷体_GB2312" w:cs="楷体_GB2312"/>
        </w:rPr>
        <w:t>物流业</w:t>
      </w:r>
      <w:r>
        <w:rPr>
          <w:rFonts w:hint="eastAsia" w:ascii="楷体_GB2312" w:hAnsi="楷体_GB2312" w:eastAsia="楷体_GB2312" w:cs="楷体_GB2312"/>
          <w:b/>
          <w:bCs/>
        </w:rPr>
        <w:t>。</w:t>
      </w:r>
      <w:r>
        <w:rPr>
          <w:rFonts w:hint="eastAsia" w:ascii="仿宋_GB2312" w:hAnsi="仿宋_GB2312" w:eastAsia="仿宋_GB2312" w:cs="仿宋_GB2312"/>
          <w:szCs w:val="32"/>
        </w:rPr>
        <w:t>发挥区位交通优势，对接融入环渤海弯经济圈，推进公铁海多式联运试点，完善货运物流配送体系，建设与环渤海港口对接的无水港，打造辐射呼包鄂地区新型智慧商贸物流综合集散地。加快专业物流园建设步伐，全面提高物流产业支撑经济发展的能力，推进荣通、联创等煤炭物流园区综合能力提升，优化高头窑、敖包梁等南部矿区煤炭洗选加工及集运系统产业空间布局，提高煤炭发运能力，打造鄂尔多斯煤炭超市。依托达拉特经济开发区“五大产业生态圈”，加快开发区智慧物流园项目建设，打造以化工、建材等大宗商品物流为主体，储运、交易、金融、保险、期货等一体化的综合性物流基地。推动城郊及马兰湖汽运物流园区建设，完善蒙禾、蒙根花等特色农产品加工园区配套设施，加强惠民、宝善堂和真金农资产业园区等仓储和冷链物流建设，推进农畜产品加工储运体系建设，补齐农畜产品供应链短板。加快传统物流业转型升级，鼓励仓储、运输等传统物流服务企业延伸服务链条，大力发展第三方和第四方物流企业，提升产业规模和发展水平。合理布局城乡物流分拨中心、公共配送中心和末端配送站点三级网络，畅通农畜产品直销配送和农资、农机、日用工业品双向物流渠道，完善城乡直达配送体系，重点扶持农牧业产地预冷库、冷库、冷藏运输车等设施建设，提升农牧业物流服务水平。推进物流信息平台体系建设，推广智慧物流平台在相关企业的应用，扶持物流领域创业创新型中小企业发展，加大电商服务平台建设，大力发展电商物流，打造蒙西地区智慧物流重要节点。</w:t>
      </w:r>
      <w:bookmarkEnd w:id="228"/>
      <w:bookmarkEnd w:id="229"/>
      <w:bookmarkEnd w:id="230"/>
      <w:bookmarkEnd w:id="231"/>
      <w:bookmarkEnd w:id="232"/>
      <w:bookmarkStart w:id="233" w:name="_Toc6703"/>
      <w:bookmarkStart w:id="234" w:name="_Toc14552"/>
      <w:bookmarkStart w:id="235" w:name="_Toc15415"/>
      <w:bookmarkStart w:id="236" w:name="_Toc31419"/>
      <w:bookmarkStart w:id="237" w:name="_Toc3456"/>
    </w:p>
    <w:p w14:paraId="12BC6E20">
      <w:pPr>
        <w:spacing w:line="600" w:lineRule="exact"/>
        <w:ind w:firstLine="643"/>
        <w:rPr>
          <w:rFonts w:ascii="Times New Roman" w:hAnsi="Times New Roman" w:cs="Times New Roman"/>
          <w:lang w:val="en-US"/>
        </w:rPr>
      </w:pPr>
      <w:r>
        <w:rPr>
          <w:rStyle w:val="34"/>
          <w:rFonts w:hint="eastAsia" w:ascii="楷体_GB2312" w:hAnsi="楷体_GB2312" w:eastAsia="楷体_GB2312" w:cs="楷体_GB2312"/>
        </w:rPr>
        <w:t>大力发展</w:t>
      </w:r>
      <w:r>
        <w:rPr>
          <w:rStyle w:val="34"/>
          <w:rFonts w:hint="eastAsia" w:ascii="楷体_GB2312" w:hAnsi="楷体_GB2312" w:eastAsia="楷体_GB2312" w:cs="楷体_GB2312"/>
          <w:lang w:val="en-US"/>
        </w:rPr>
        <w:t>商务</w:t>
      </w:r>
      <w:r>
        <w:rPr>
          <w:rStyle w:val="34"/>
          <w:rFonts w:hint="eastAsia" w:ascii="楷体_GB2312" w:hAnsi="楷体_GB2312" w:eastAsia="楷体_GB2312" w:cs="楷体_GB2312"/>
        </w:rPr>
        <w:t>服务业。</w:t>
      </w:r>
      <w:r>
        <w:rPr>
          <w:rFonts w:hint="eastAsia" w:ascii="仿宋_GB2312" w:hAnsi="仿宋_GB2312" w:eastAsia="仿宋_GB2312" w:cs="仿宋_GB2312"/>
        </w:rPr>
        <w:t>健全金融服务体系，积极引进股份制银行设立旗内分支营业机构，发展壮大地方金融产业。</w:t>
      </w:r>
      <w:r>
        <w:rPr>
          <w:rFonts w:hint="eastAsia" w:ascii="仿宋_GB2312" w:hAnsi="仿宋_GB2312" w:eastAsia="仿宋_GB2312" w:cs="仿宋_GB2312"/>
          <w:color w:val="000007"/>
          <w:spacing w:val="-7"/>
        </w:rPr>
        <w:t>加强金融资源有效配置，深化产业升级金融服务体系，搭建科技创新金融服务体系，夯实普惠民生金融服务体系，全面提升金融服务实体经济能力。</w:t>
      </w:r>
      <w:r>
        <w:rPr>
          <w:rFonts w:hint="eastAsia" w:ascii="仿宋_GB2312" w:hAnsi="仿宋_GB2312" w:eastAsia="仿宋_GB2312" w:cs="仿宋_GB2312"/>
        </w:rPr>
        <w:t>大力推进</w:t>
      </w:r>
      <w:r>
        <w:rPr>
          <w:rFonts w:hint="eastAsia" w:ascii="仿宋_GB2312" w:hAnsi="仿宋_GB2312" w:eastAsia="仿宋_GB2312" w:cs="仿宋_GB2312"/>
          <w:color w:val="000008"/>
          <w:lang w:val="en-US" w:bidi="ar-SA"/>
        </w:rPr>
        <w:t>生态金融产业，加强草原碳金融、沙区生态旅游金融和黄灌区生态农业产业金融发展，以绿色金融支持生态保护、生态建设和绿色产业项目，实现资金要素的绿色配置。深入推进</w:t>
      </w:r>
      <w:r>
        <w:rPr>
          <w:rFonts w:hint="eastAsia" w:ascii="仿宋_GB2312" w:hAnsi="仿宋_GB2312" w:eastAsia="仿宋_GB2312" w:cs="仿宋_GB2312"/>
        </w:rPr>
        <w:t>农村牧区金融改革试点，</w:t>
      </w:r>
      <w:r>
        <w:rPr>
          <w:rFonts w:hint="eastAsia" w:ascii="仿宋_GB2312" w:hAnsi="仿宋_GB2312" w:eastAsia="仿宋_GB2312" w:cs="仿宋_GB2312"/>
          <w:color w:val="000007"/>
          <w:spacing w:val="-2"/>
        </w:rPr>
        <w:t>完善</w:t>
      </w:r>
      <w:r>
        <w:rPr>
          <w:rFonts w:hint="eastAsia" w:ascii="仿宋_GB2312" w:hAnsi="仿宋_GB2312" w:eastAsia="仿宋_GB2312" w:cs="仿宋_GB2312"/>
          <w:color w:val="000007"/>
          <w:spacing w:val="-10"/>
        </w:rPr>
        <w:t>农村牧区信贷投放体系，推动</w:t>
      </w:r>
      <w:r>
        <w:rPr>
          <w:rFonts w:hint="eastAsia" w:ascii="仿宋_GB2312" w:hAnsi="仿宋_GB2312" w:eastAsia="仿宋_GB2312" w:cs="仿宋_GB2312"/>
          <w:color w:val="000007"/>
          <w:spacing w:val="-12"/>
        </w:rPr>
        <w:t>农村牧区土地和草牧场承包经营权、宅基地使用</w:t>
      </w:r>
      <w:r>
        <w:rPr>
          <w:rFonts w:hint="eastAsia" w:ascii="仿宋_GB2312" w:hAnsi="仿宋_GB2312" w:eastAsia="仿宋_GB2312" w:cs="仿宋_GB2312"/>
          <w:color w:val="000007"/>
          <w:spacing w:val="-11"/>
        </w:rPr>
        <w:t>权、林权、农牧民财政补贴等抵押质押贷款业务，</w:t>
      </w:r>
      <w:r>
        <w:rPr>
          <w:rFonts w:hint="eastAsia" w:ascii="仿宋_GB2312" w:hAnsi="仿宋_GB2312" w:eastAsia="仿宋_GB2312" w:cs="仿宋_GB2312"/>
          <w:color w:val="000007"/>
          <w:spacing w:val="-13"/>
        </w:rPr>
        <w:t>拓宽</w:t>
      </w:r>
      <w:r>
        <w:rPr>
          <w:rFonts w:hint="eastAsia" w:ascii="仿宋_GB2312" w:hAnsi="仿宋_GB2312" w:eastAsia="仿宋_GB2312" w:cs="仿宋_GB2312"/>
          <w:color w:val="000007"/>
          <w:spacing w:val="-12"/>
        </w:rPr>
        <w:t>农村牧区融资渠道</w:t>
      </w:r>
      <w:r>
        <w:rPr>
          <w:rFonts w:hint="eastAsia" w:ascii="仿宋_GB2312" w:hAnsi="仿宋_GB2312" w:eastAsia="仿宋_GB2312" w:cs="仿宋_GB2312"/>
          <w:color w:val="000007"/>
          <w:spacing w:val="-7"/>
        </w:rPr>
        <w:t>。</w:t>
      </w:r>
      <w:r>
        <w:rPr>
          <w:rFonts w:hint="eastAsia" w:ascii="仿宋_GB2312" w:hAnsi="仿宋_GB2312" w:eastAsia="仿宋_GB2312" w:cs="仿宋_GB2312"/>
        </w:rPr>
        <w:t>积极防范金融风险，打击金融违法犯罪，全力稳定地方金融秩序。</w:t>
      </w:r>
      <w:r>
        <w:rPr>
          <w:rFonts w:hint="eastAsia" w:ascii="仿宋_GB2312" w:hAnsi="仿宋_GB2312" w:eastAsia="仿宋_GB2312" w:cs="仿宋_GB2312"/>
          <w:color w:val="000007"/>
          <w:spacing w:val="-8"/>
        </w:rPr>
        <w:t>推动资本市场</w:t>
      </w:r>
      <w:r>
        <w:rPr>
          <w:rFonts w:hint="eastAsia" w:ascii="仿宋_GB2312" w:hAnsi="仿宋_GB2312" w:eastAsia="仿宋_GB2312" w:cs="仿宋_GB2312"/>
          <w:color w:val="000007"/>
          <w:spacing w:val="-11"/>
        </w:rPr>
        <w:t>发展，积极</w:t>
      </w:r>
      <w:r>
        <w:rPr>
          <w:rFonts w:hint="eastAsia" w:ascii="仿宋_GB2312" w:hAnsi="仿宋_GB2312" w:eastAsia="仿宋_GB2312" w:cs="仿宋_GB2312"/>
          <w:color w:val="000007"/>
          <w:spacing w:val="-7"/>
        </w:rPr>
        <w:t>促进旗内</w:t>
      </w:r>
      <w:r>
        <w:rPr>
          <w:rFonts w:hint="eastAsia" w:ascii="仿宋_GB2312" w:hAnsi="仿宋_GB2312" w:eastAsia="仿宋_GB2312" w:cs="仿宋_GB2312"/>
          <w:color w:val="000007"/>
          <w:spacing w:val="-9"/>
        </w:rPr>
        <w:t>中小企业在自治区股权交易中心、“新三板”以及“科创板”</w:t>
      </w:r>
      <w:r>
        <w:rPr>
          <w:rFonts w:hint="eastAsia" w:ascii="仿宋_GB2312" w:hAnsi="仿宋_GB2312" w:eastAsia="仿宋_GB2312" w:cs="仿宋_GB2312"/>
          <w:color w:val="000007"/>
          <w:spacing w:val="-11"/>
        </w:rPr>
        <w:t>挂牌上市，推动东达、万通、真金等企</w:t>
      </w:r>
      <w:r>
        <w:rPr>
          <w:rFonts w:hint="eastAsia" w:ascii="仿宋_GB2312" w:hAnsi="仿宋_GB2312" w:eastAsia="仿宋_GB2312" w:cs="仿宋_GB2312"/>
          <w:color w:val="000007"/>
          <w:spacing w:val="-3"/>
        </w:rPr>
        <w:t>业与券商对接，加快上市步伐。</w:t>
      </w:r>
      <w:r>
        <w:rPr>
          <w:rFonts w:hint="eastAsia" w:ascii="仿宋_GB2312" w:hAnsi="仿宋_GB2312" w:eastAsia="仿宋_GB2312" w:cs="仿宋_GB2312"/>
          <w:color w:val="000007"/>
          <w:spacing w:val="-8"/>
        </w:rPr>
        <w:t>拓宽保险服务领域，</w:t>
      </w:r>
      <w:r>
        <w:rPr>
          <w:rFonts w:hint="eastAsia" w:ascii="仿宋_GB2312" w:hAnsi="仿宋_GB2312" w:eastAsia="仿宋_GB2312" w:cs="仿宋_GB2312"/>
          <w:color w:val="000007"/>
          <w:spacing w:val="-12"/>
        </w:rPr>
        <w:t>积极培育和引入新的保险市场主体，努力扩大保险覆盖面，</w:t>
      </w:r>
      <w:r>
        <w:rPr>
          <w:rFonts w:hint="eastAsia" w:ascii="仿宋_GB2312" w:hAnsi="仿宋_GB2312" w:eastAsia="仿宋_GB2312" w:cs="仿宋_GB2312"/>
          <w:color w:val="000007"/>
          <w:spacing w:val="-11"/>
        </w:rPr>
        <w:t>支持商业保险公司发挥专业优势参与基本医疗保险、农牧民养老</w:t>
      </w:r>
      <w:r>
        <w:rPr>
          <w:rFonts w:hint="eastAsia" w:ascii="仿宋_GB2312" w:hAnsi="仿宋_GB2312" w:eastAsia="仿宋_GB2312" w:cs="仿宋_GB2312"/>
          <w:color w:val="000007"/>
          <w:spacing w:val="-6"/>
        </w:rPr>
        <w:t>保险等农村牧区社会保障体系建设。</w:t>
      </w:r>
      <w:r>
        <w:rPr>
          <w:rFonts w:hint="eastAsia" w:ascii="仿宋_GB2312" w:hAnsi="仿宋_GB2312" w:eastAsia="仿宋_GB2312" w:cs="仿宋_GB2312"/>
        </w:rPr>
        <w:t>加大会计、审计、税务、法律、投资管理等商务咨询服务业支持力度，提升商务服务企业专业化水平，加快发展商务会展、信息等社会专业服务业，健全完善商务服务体系，打造</w:t>
      </w:r>
      <w:r>
        <w:rPr>
          <w:rFonts w:hint="eastAsia" w:ascii="仿宋_GB2312" w:hAnsi="仿宋_GB2312" w:eastAsia="仿宋_GB2312" w:cs="仿宋_GB2312"/>
          <w:szCs w:val="32"/>
        </w:rPr>
        <w:t>中国北方农机农技博览会、产业发展论坛等商务服务品牌，提升区域高质量发展影响力。</w:t>
      </w:r>
      <w:bookmarkEnd w:id="233"/>
      <w:bookmarkEnd w:id="234"/>
      <w:bookmarkEnd w:id="235"/>
      <w:bookmarkEnd w:id="236"/>
      <w:bookmarkEnd w:id="237"/>
      <w:bookmarkStart w:id="238" w:name="_Toc2745"/>
      <w:bookmarkStart w:id="239" w:name="_Toc19235"/>
      <w:bookmarkStart w:id="240" w:name="_Toc26886"/>
      <w:bookmarkStart w:id="241" w:name="_Toc26900"/>
      <w:bookmarkStart w:id="242" w:name="_Toc12094"/>
    </w:p>
    <w:p w14:paraId="2CE265FB">
      <w:pPr>
        <w:spacing w:line="600" w:lineRule="exact"/>
        <w:ind w:firstLine="643"/>
        <w:rPr>
          <w:rFonts w:ascii="仿宋_GB2312" w:hAnsi="仿宋_GB2312" w:eastAsia="仿宋_GB2312" w:cs="仿宋_GB2312"/>
          <w:color w:val="000007"/>
        </w:rPr>
      </w:pPr>
      <w:r>
        <w:rPr>
          <w:rStyle w:val="34"/>
          <w:rFonts w:hint="eastAsia" w:ascii="楷体_GB2312" w:hAnsi="楷体_GB2312" w:eastAsia="楷体_GB2312" w:cs="楷体_GB2312"/>
        </w:rPr>
        <w:t>着力构建高品质生活性服务业。</w:t>
      </w:r>
      <w:r>
        <w:rPr>
          <w:rFonts w:hint="eastAsia" w:ascii="仿宋_GB2312" w:hAnsi="仿宋_GB2312" w:eastAsia="仿宋_GB2312" w:cs="仿宋_GB2312"/>
          <w:color w:val="000007"/>
          <w:spacing w:val="-3"/>
        </w:rPr>
        <w:t>整合提升</w:t>
      </w:r>
      <w:r>
        <w:rPr>
          <w:rFonts w:hint="eastAsia" w:ascii="仿宋_GB2312" w:hAnsi="仿宋_GB2312" w:eastAsia="仿宋_GB2312" w:cs="仿宋_GB2312"/>
          <w:color w:val="000007"/>
          <w:spacing w:val="-10"/>
        </w:rPr>
        <w:t>中心城</w:t>
      </w:r>
      <w:r>
        <w:rPr>
          <w:rFonts w:hint="eastAsia" w:ascii="仿宋_GB2312" w:hAnsi="仿宋_GB2312" w:eastAsia="仿宋_GB2312" w:cs="仿宋_GB2312"/>
          <w:color w:val="000007"/>
          <w:spacing w:val="-3"/>
        </w:rPr>
        <w:t>区商业设施，丰富建筑物立面、店面、牌匾、</w:t>
      </w:r>
      <w:r>
        <w:rPr>
          <w:rFonts w:hint="eastAsia" w:ascii="仿宋_GB2312" w:hAnsi="仿宋_GB2312" w:eastAsia="仿宋_GB2312" w:cs="仿宋_GB2312"/>
          <w:color w:val="000007"/>
          <w:spacing w:val="-10"/>
        </w:rPr>
        <w:t>灯光效果等景观设计，推动商业建筑风貌与文化元素协调融合，</w:t>
      </w:r>
      <w:r>
        <w:rPr>
          <w:rFonts w:hint="eastAsia" w:ascii="仿宋_GB2312" w:hAnsi="仿宋_GB2312" w:eastAsia="仿宋_GB2312" w:cs="仿宋_GB2312"/>
          <w:color w:val="000007"/>
          <w:spacing w:val="-2"/>
        </w:rPr>
        <w:t>赋予商圈、商</w:t>
      </w:r>
      <w:r>
        <w:rPr>
          <w:rFonts w:hint="eastAsia" w:ascii="仿宋_GB2312" w:hAnsi="仿宋_GB2312" w:eastAsia="仿宋_GB2312" w:cs="仿宋_GB2312"/>
          <w:color w:val="000007"/>
          <w:spacing w:val="-10"/>
        </w:rPr>
        <w:t>街持续发展文化内涵。改造提升</w:t>
      </w:r>
      <w:r>
        <w:rPr>
          <w:rFonts w:hint="eastAsia" w:ascii="仿宋_GB2312" w:hAnsi="仿宋_GB2312" w:eastAsia="仿宋_GB2312" w:cs="仿宋_GB2312"/>
          <w:color w:val="000007"/>
          <w:spacing w:val="-3"/>
        </w:rPr>
        <w:t>蒙达陶瓷广场、</w:t>
      </w:r>
      <w:r>
        <w:rPr>
          <w:rFonts w:hint="eastAsia" w:ascii="仿宋_GB2312" w:hAnsi="仿宋_GB2312" w:eastAsia="仿宋_GB2312" w:cs="仿宋_GB2312"/>
          <w:color w:val="000007"/>
          <w:spacing w:val="-11"/>
        </w:rPr>
        <w:t>鄂尔多斯文化广场、北国购物广场等城市商圈，推动维多利财富广场建设，完善腾达商业街区服务功能，</w:t>
      </w:r>
      <w:r>
        <w:rPr>
          <w:rFonts w:hint="eastAsia" w:ascii="仿宋_GB2312" w:hAnsi="仿宋_GB2312" w:eastAsia="仿宋_GB2312" w:cs="仿宋_GB2312"/>
          <w:color w:val="000007"/>
          <w:spacing w:val="-12"/>
        </w:rPr>
        <w:t>构建</w:t>
      </w:r>
      <w:r>
        <w:rPr>
          <w:rFonts w:hint="eastAsia" w:ascii="仿宋_GB2312" w:hAnsi="仿宋_GB2312" w:eastAsia="仿宋_GB2312" w:cs="仿宋_GB2312"/>
          <w:color w:val="000007"/>
          <w:spacing w:val="-10"/>
        </w:rPr>
        <w:t>文化突出、特色鲜明、结构合理、功能齐全的综合商圈新格局。加快城市</w:t>
      </w:r>
      <w:r>
        <w:rPr>
          <w:rFonts w:hint="eastAsia" w:ascii="仿宋_GB2312" w:hAnsi="仿宋_GB2312" w:eastAsia="仿宋_GB2312" w:cs="仿宋_GB2312"/>
          <w:color w:val="000007"/>
          <w:spacing w:val="-3"/>
        </w:rPr>
        <w:t>商业结构调整，</w:t>
      </w:r>
      <w:r>
        <w:rPr>
          <w:rFonts w:hint="eastAsia" w:ascii="仿宋_GB2312" w:hAnsi="仿宋_GB2312" w:eastAsia="仿宋_GB2312" w:cs="仿宋_GB2312"/>
          <w:color w:val="000007"/>
          <w:spacing w:val="-10"/>
        </w:rPr>
        <w:t>优化商业网点布局，着力建设“10分钟便民消费圈”。完善农村牧区消费市场网络，结合美丽乡村建设和新型城镇化发展，因地域、因特色打造</w:t>
      </w:r>
      <w:r>
        <w:rPr>
          <w:rFonts w:hint="eastAsia" w:ascii="仿宋_GB2312" w:hAnsi="仿宋_GB2312" w:eastAsia="仿宋_GB2312" w:cs="仿宋_GB2312"/>
          <w:color w:val="000007"/>
          <w:spacing w:val="-11"/>
        </w:rPr>
        <w:t>农村</w:t>
      </w:r>
      <w:r>
        <w:rPr>
          <w:rFonts w:hint="eastAsia" w:ascii="仿宋_GB2312" w:hAnsi="仿宋_GB2312" w:eastAsia="仿宋_GB2312" w:cs="仿宋_GB2312"/>
          <w:color w:val="000007"/>
          <w:spacing w:val="-12"/>
        </w:rPr>
        <w:t>商街体系。优化建材、汽车、家居、农副产品批发等各类专业市场布局，促进商贸服务业全面发展。推动商业经营模式升级，大力</w:t>
      </w:r>
      <w:r>
        <w:rPr>
          <w:rFonts w:hint="eastAsia" w:ascii="仿宋_GB2312" w:hAnsi="仿宋_GB2312" w:eastAsia="仿宋_GB2312" w:cs="仿宋_GB2312"/>
          <w:color w:val="000007"/>
          <w:spacing w:val="-2"/>
        </w:rPr>
        <w:t>开发夜间经</w:t>
      </w:r>
      <w:r>
        <w:rPr>
          <w:rFonts w:hint="eastAsia" w:ascii="仿宋_GB2312" w:hAnsi="仿宋_GB2312" w:eastAsia="仿宋_GB2312" w:cs="仿宋_GB2312"/>
          <w:color w:val="000007"/>
          <w:spacing w:val="-8"/>
        </w:rPr>
        <w:t>济、旅游商贸、互联网营销</w:t>
      </w:r>
      <w:r>
        <w:rPr>
          <w:rFonts w:hint="eastAsia" w:ascii="仿宋_GB2312" w:hAnsi="仿宋_GB2312" w:eastAsia="仿宋_GB2312" w:cs="仿宋_GB2312"/>
          <w:color w:val="000007"/>
          <w:spacing w:val="-9"/>
        </w:rPr>
        <w:t>，线上线下融合，</w:t>
      </w:r>
      <w:r>
        <w:rPr>
          <w:rFonts w:hint="eastAsia" w:ascii="仿宋_GB2312" w:hAnsi="仿宋_GB2312" w:eastAsia="仿宋_GB2312" w:cs="仿宋_GB2312"/>
          <w:color w:val="000007"/>
        </w:rPr>
        <w:t>满足群众多样化消费需求。</w:t>
      </w:r>
      <w:r>
        <w:rPr>
          <w:rFonts w:hint="eastAsia" w:ascii="仿宋_GB2312" w:hAnsi="仿宋_GB2312" w:eastAsia="仿宋_GB2312" w:cs="仿宋_GB2312"/>
        </w:rPr>
        <w:t>加快培育医疗护理、养生保健、日常照料、康复理疗等健康服务产业，集中打造一所公办康养结合养老院；鼓励各类社会资本兴办各类敬老院、老年公寓、养老会所等，形成以居家养老为基础、社区养老为依托、机构养老为补充的养老服务体系。</w:t>
      </w:r>
      <w:r>
        <w:rPr>
          <w:rFonts w:hint="eastAsia" w:ascii="仿宋_GB2312" w:hAnsi="仿宋_GB2312" w:eastAsia="仿宋_GB2312" w:cs="仿宋_GB2312"/>
          <w:color w:val="000007"/>
        </w:rPr>
        <w:t>推动旅游与健康产业融合发展，加快恩格贝温泉康养基地等项目建设，适时推动马兰湖健康产业发展；建立智慧养老信息管理平台，加强健康养老专业机构和人力资源建设，提高全旗健康养老服务水平。</w:t>
      </w:r>
      <w:bookmarkEnd w:id="238"/>
      <w:bookmarkEnd w:id="239"/>
      <w:bookmarkEnd w:id="240"/>
      <w:bookmarkEnd w:id="241"/>
      <w:bookmarkEnd w:id="242"/>
      <w:bookmarkStart w:id="243" w:name="_Toc59098763"/>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1466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64" w:type="dxa"/>
            <w:shd w:val="clear" w:color="auto" w:fill="FDE9D9" w:themeFill="accent6" w:themeFillShade="D9" w:themeFillTint="33"/>
            <w:vAlign w:val="center"/>
          </w:tcPr>
          <w:p w14:paraId="6AF6C8BF">
            <w:pPr>
              <w:spacing w:line="240" w:lineRule="auto"/>
              <w:ind w:firstLine="56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专栏5：</w:t>
            </w:r>
            <w:r>
              <w:rPr>
                <w:rFonts w:ascii="Times New Roman" w:hAnsi="Times New Roman" w:eastAsia="仿宋_GB2312" w:cs="Times New Roman"/>
                <w:b/>
                <w:bCs/>
                <w:sz w:val="28"/>
                <w:szCs w:val="28"/>
              </w:rPr>
              <w:t>呼包鄂区域性现代化服务业中心</w:t>
            </w:r>
          </w:p>
        </w:tc>
      </w:tr>
      <w:tr w14:paraId="1910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04" w:hRule="atLeast"/>
        </w:trPr>
        <w:tc>
          <w:tcPr>
            <w:tcW w:w="9064" w:type="dxa"/>
            <w:shd w:val="clear" w:color="auto" w:fill="FDEADA" w:themeFill="accent6" w:themeFillShade="D9" w:themeFillTint="32"/>
            <w:vAlign w:val="center"/>
          </w:tcPr>
          <w:p w14:paraId="7EBC7AA4">
            <w:pPr>
              <w:pStyle w:val="60"/>
              <w:spacing w:line="240" w:lineRule="auto"/>
              <w:jc w:val="center"/>
              <w:rPr>
                <w:rFonts w:ascii="Times New Roman" w:hAnsi="Times New Roman" w:eastAsia="仿宋_GB2312" w:cs="Times New Roman"/>
                <w:sz w:val="28"/>
                <w:szCs w:val="28"/>
              </w:rPr>
            </w:pPr>
            <w:bookmarkStart w:id="244" w:name="_Toc23297"/>
            <w:bookmarkStart w:id="245" w:name="_Toc28826"/>
            <w:bookmarkStart w:id="246" w:name="_Toc14383"/>
            <w:bookmarkStart w:id="247" w:name="_Toc16350"/>
            <w:bookmarkStart w:id="248" w:name="_Toc26452"/>
            <w:r>
              <w:rPr>
                <w:rFonts w:ascii="Times New Roman" w:hAnsi="Times New Roman" w:eastAsia="仿宋_GB2312" w:cs="Times New Roman"/>
                <w:b/>
                <w:bCs/>
                <w:sz w:val="28"/>
                <w:szCs w:val="28"/>
              </w:rPr>
              <w:t>重大战略</w:t>
            </w:r>
            <w:bookmarkEnd w:id="244"/>
            <w:bookmarkEnd w:id="245"/>
            <w:bookmarkEnd w:id="246"/>
            <w:bookmarkEnd w:id="247"/>
            <w:bookmarkEnd w:id="248"/>
          </w:p>
        </w:tc>
      </w:tr>
      <w:tr w14:paraId="4E36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64" w:type="dxa"/>
            <w:shd w:val="clear" w:color="auto" w:fill="D8D8D8" w:themeFill="background1" w:themeFillShade="D9"/>
          </w:tcPr>
          <w:p w14:paraId="29FFF2FC">
            <w:pPr>
              <w:pStyle w:val="60"/>
              <w:ind w:firstLine="360" w:firstLineChars="150"/>
              <w:rPr>
                <w:rFonts w:ascii="仿宋_GB2312" w:hAnsi="Times New Roman" w:eastAsia="仿宋_GB2312" w:cs="Times New Roman"/>
              </w:rPr>
            </w:pPr>
            <w:bookmarkStart w:id="249" w:name="_Toc14296"/>
            <w:bookmarkStart w:id="250" w:name="_Toc17923"/>
            <w:bookmarkStart w:id="251" w:name="_Toc2314"/>
            <w:bookmarkStart w:id="252" w:name="_Toc7794"/>
            <w:bookmarkStart w:id="253" w:name="_Toc27403"/>
            <w:r>
              <w:rPr>
                <w:rFonts w:hint="eastAsia" w:ascii="仿宋_GB2312" w:hAnsi="Times New Roman" w:eastAsia="仿宋_GB2312" w:cs="Times New Roman"/>
                <w:szCs w:val="24"/>
              </w:rPr>
              <w:t>◆</w:t>
            </w:r>
            <w:r>
              <w:rPr>
                <w:rFonts w:hint="eastAsia" w:ascii="仿宋_GB2312" w:hAnsi="Times New Roman" w:eastAsia="仿宋_GB2312" w:cs="Times New Roman"/>
              </w:rPr>
              <w:t xml:space="preserve"> 辐射呼包鄂地区新型智慧商贸物流综合集散地</w:t>
            </w:r>
            <w:bookmarkEnd w:id="249"/>
            <w:bookmarkEnd w:id="250"/>
            <w:bookmarkEnd w:id="251"/>
            <w:bookmarkEnd w:id="252"/>
            <w:bookmarkEnd w:id="253"/>
          </w:p>
          <w:p w14:paraId="55BB174B">
            <w:pPr>
              <w:pStyle w:val="60"/>
              <w:ind w:firstLine="360" w:firstLineChars="150"/>
              <w:rPr>
                <w:rFonts w:ascii="仿宋_GB2312" w:hAnsi="Times New Roman" w:eastAsia="仿宋_GB2312" w:cs="Times New Roman"/>
              </w:rPr>
            </w:pPr>
            <w:bookmarkStart w:id="254" w:name="_Toc7055"/>
            <w:bookmarkStart w:id="255" w:name="_Toc18070"/>
            <w:bookmarkStart w:id="256" w:name="_Toc3461"/>
            <w:bookmarkStart w:id="257" w:name="_Toc24668"/>
            <w:bookmarkStart w:id="258" w:name="_Toc24796"/>
            <w:r>
              <w:rPr>
                <w:rFonts w:hint="eastAsia" w:ascii="仿宋_GB2312" w:hAnsi="Times New Roman" w:eastAsia="仿宋_GB2312" w:cs="Times New Roman"/>
              </w:rPr>
              <w:t>◆ 蒙西地区电子商务智慧物流枢纽</w:t>
            </w:r>
            <w:bookmarkEnd w:id="254"/>
            <w:bookmarkEnd w:id="255"/>
            <w:bookmarkEnd w:id="256"/>
            <w:bookmarkEnd w:id="257"/>
            <w:bookmarkEnd w:id="258"/>
          </w:p>
          <w:p w14:paraId="27D168F8">
            <w:pPr>
              <w:pStyle w:val="60"/>
              <w:ind w:firstLine="360" w:firstLineChars="150"/>
              <w:rPr>
                <w:rFonts w:ascii="Times New Roman" w:hAnsi="Times New Roman" w:eastAsia="仿宋_GB2312" w:cs="Times New Roman"/>
                <w:szCs w:val="24"/>
              </w:rPr>
            </w:pPr>
            <w:bookmarkStart w:id="259" w:name="_Toc11447"/>
            <w:bookmarkStart w:id="260" w:name="_Toc2766"/>
            <w:bookmarkStart w:id="261" w:name="_Toc18287"/>
            <w:bookmarkStart w:id="262" w:name="_Toc21166"/>
            <w:bookmarkStart w:id="263" w:name="_Toc29409"/>
            <w:r>
              <w:rPr>
                <w:rFonts w:hint="eastAsia" w:ascii="仿宋_GB2312" w:hAnsi="Times New Roman" w:eastAsia="仿宋_GB2312" w:cs="Times New Roman"/>
              </w:rPr>
              <w:t>◆ 鄂尔多斯煤炭超市</w:t>
            </w:r>
            <w:bookmarkEnd w:id="259"/>
            <w:bookmarkEnd w:id="260"/>
            <w:bookmarkEnd w:id="261"/>
            <w:bookmarkEnd w:id="262"/>
            <w:bookmarkEnd w:id="263"/>
          </w:p>
        </w:tc>
      </w:tr>
      <w:tr w14:paraId="615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64" w:type="dxa"/>
            <w:shd w:val="clear" w:color="auto" w:fill="FDEADA" w:themeFill="accent6" w:themeFillShade="D9" w:themeFillTint="32"/>
            <w:vAlign w:val="center"/>
          </w:tcPr>
          <w:p w14:paraId="7D9CB06B">
            <w:pPr>
              <w:pStyle w:val="60"/>
              <w:spacing w:line="240" w:lineRule="auto"/>
              <w:jc w:val="center"/>
              <w:rPr>
                <w:rFonts w:ascii="Times New Roman" w:hAnsi="Times New Roman" w:eastAsia="仿宋_GB2312" w:cs="Times New Roman"/>
                <w:sz w:val="28"/>
                <w:szCs w:val="28"/>
              </w:rPr>
            </w:pPr>
            <w:bookmarkStart w:id="264" w:name="_Toc29708"/>
            <w:bookmarkStart w:id="265" w:name="_Toc12163"/>
            <w:bookmarkStart w:id="266" w:name="_Toc8721"/>
            <w:bookmarkStart w:id="267" w:name="_Toc7449"/>
            <w:bookmarkStart w:id="268" w:name="_Toc20984"/>
            <w:r>
              <w:rPr>
                <w:rFonts w:ascii="Times New Roman" w:hAnsi="Times New Roman" w:eastAsia="仿宋_GB2312" w:cs="Times New Roman"/>
                <w:b/>
                <w:bCs/>
                <w:sz w:val="28"/>
                <w:szCs w:val="28"/>
              </w:rPr>
              <w:t>重大</w:t>
            </w:r>
            <w:bookmarkEnd w:id="264"/>
            <w:bookmarkEnd w:id="265"/>
            <w:bookmarkEnd w:id="266"/>
            <w:bookmarkEnd w:id="267"/>
            <w:bookmarkEnd w:id="268"/>
            <w:r>
              <w:rPr>
                <w:rFonts w:hint="eastAsia" w:ascii="Times New Roman" w:hAnsi="Times New Roman" w:eastAsia="仿宋_GB2312" w:cs="Times New Roman"/>
                <w:b/>
                <w:bCs/>
                <w:sz w:val="28"/>
                <w:szCs w:val="28"/>
              </w:rPr>
              <w:t>工程</w:t>
            </w:r>
          </w:p>
        </w:tc>
      </w:tr>
      <w:tr w14:paraId="57F9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064" w:type="dxa"/>
            <w:shd w:val="clear" w:color="auto" w:fill="D8D8D8" w:themeFill="background1" w:themeFillShade="D9"/>
          </w:tcPr>
          <w:p w14:paraId="1F3A2AC4">
            <w:pPr>
              <w:pStyle w:val="60"/>
              <w:ind w:firstLine="360" w:firstLineChars="150"/>
              <w:rPr>
                <w:rFonts w:ascii="仿宋_GB2312" w:hAnsi="Times New Roman" w:eastAsia="仿宋_GB2312" w:cs="Times New Roman"/>
              </w:rPr>
            </w:pPr>
            <w:bookmarkStart w:id="269" w:name="_Toc25915"/>
            <w:bookmarkStart w:id="270" w:name="_Toc32446"/>
            <w:bookmarkStart w:id="271" w:name="_Toc12495"/>
            <w:bookmarkStart w:id="272" w:name="_Toc31509"/>
            <w:bookmarkStart w:id="273" w:name="_Toc29641"/>
            <w:r>
              <w:rPr>
                <w:rFonts w:hint="eastAsia" w:ascii="仿宋_GB2312" w:hAnsi="Times New Roman" w:eastAsia="仿宋_GB2312" w:cs="Times New Roman"/>
                <w:szCs w:val="24"/>
              </w:rPr>
              <w:t xml:space="preserve">◆ </w:t>
            </w:r>
            <w:r>
              <w:rPr>
                <w:rFonts w:hint="eastAsia" w:ascii="仿宋_GB2312" w:hAnsi="Times New Roman" w:eastAsia="仿宋_GB2312" w:cs="Times New Roman"/>
              </w:rPr>
              <w:t>开发区智慧物流园</w:t>
            </w:r>
            <w:bookmarkEnd w:id="269"/>
            <w:bookmarkEnd w:id="270"/>
            <w:bookmarkEnd w:id="271"/>
            <w:bookmarkEnd w:id="272"/>
            <w:bookmarkEnd w:id="273"/>
          </w:p>
          <w:p w14:paraId="7688B7FF">
            <w:pPr>
              <w:pStyle w:val="60"/>
              <w:ind w:firstLine="360" w:firstLineChars="150"/>
              <w:rPr>
                <w:rFonts w:ascii="仿宋_GB2312" w:hAnsi="Times New Roman" w:eastAsia="仿宋_GB2312" w:cs="Times New Roman"/>
              </w:rPr>
            </w:pPr>
            <w:bookmarkStart w:id="274" w:name="_Toc12475"/>
            <w:bookmarkStart w:id="275" w:name="_Toc29624"/>
            <w:bookmarkStart w:id="276" w:name="_Toc28350"/>
            <w:bookmarkStart w:id="277" w:name="_Toc18582"/>
            <w:bookmarkStart w:id="278" w:name="_Toc14964"/>
            <w:r>
              <w:rPr>
                <w:rFonts w:hint="eastAsia" w:ascii="仿宋_GB2312" w:hAnsi="Times New Roman" w:eastAsia="仿宋_GB2312" w:cs="Times New Roman"/>
              </w:rPr>
              <w:t>◆ 城郊及马兰湖汽运物流园区</w:t>
            </w:r>
            <w:bookmarkEnd w:id="274"/>
            <w:bookmarkEnd w:id="275"/>
            <w:bookmarkEnd w:id="276"/>
            <w:bookmarkEnd w:id="277"/>
            <w:bookmarkEnd w:id="278"/>
          </w:p>
          <w:p w14:paraId="01799B7D">
            <w:pPr>
              <w:pStyle w:val="60"/>
              <w:ind w:firstLine="360" w:firstLineChars="150"/>
              <w:rPr>
                <w:rFonts w:ascii="仿宋_GB2312" w:hAnsi="Times New Roman" w:eastAsia="仿宋_GB2312" w:cs="Times New Roman"/>
              </w:rPr>
            </w:pPr>
            <w:bookmarkStart w:id="279" w:name="_Toc3106"/>
            <w:bookmarkStart w:id="280" w:name="_Toc16307"/>
            <w:bookmarkStart w:id="281" w:name="_Toc32379"/>
            <w:bookmarkStart w:id="282" w:name="_Toc13609"/>
            <w:bookmarkStart w:id="283" w:name="_Toc1750"/>
            <w:r>
              <w:rPr>
                <w:rFonts w:hint="eastAsia" w:ascii="仿宋_GB2312" w:hAnsi="Times New Roman" w:eastAsia="仿宋_GB2312" w:cs="Times New Roman"/>
              </w:rPr>
              <w:t>◆ 农畜产品加工储运体系。主要建设蒙禾、蒙根花等特色农产品加工园区，惠民、宝善堂等冷链物流园区，真金粮食物流综合园区。</w:t>
            </w:r>
            <w:bookmarkEnd w:id="279"/>
            <w:bookmarkEnd w:id="280"/>
            <w:bookmarkEnd w:id="281"/>
            <w:bookmarkEnd w:id="282"/>
            <w:bookmarkEnd w:id="283"/>
          </w:p>
          <w:p w14:paraId="61845EC9">
            <w:pPr>
              <w:pStyle w:val="60"/>
              <w:ind w:firstLine="360" w:firstLineChars="150"/>
              <w:rPr>
                <w:rFonts w:ascii="仿宋_GB2312" w:hAnsi="Times New Roman" w:eastAsia="仿宋_GB2312" w:cs="Times New Roman"/>
              </w:rPr>
            </w:pPr>
            <w:bookmarkStart w:id="284" w:name="_Toc14288"/>
            <w:bookmarkStart w:id="285" w:name="_Toc32297"/>
            <w:bookmarkStart w:id="286" w:name="_Toc22540"/>
            <w:bookmarkStart w:id="287" w:name="_Toc22020"/>
            <w:bookmarkStart w:id="288" w:name="_Toc10235"/>
            <w:r>
              <w:rPr>
                <w:rFonts w:hint="eastAsia" w:ascii="仿宋_GB2312" w:hAnsi="Times New Roman" w:eastAsia="仿宋_GB2312" w:cs="Times New Roman"/>
              </w:rPr>
              <w:t>◆ 综合文化商圈改造提升工程</w:t>
            </w:r>
            <w:bookmarkEnd w:id="284"/>
            <w:bookmarkEnd w:id="285"/>
            <w:bookmarkEnd w:id="286"/>
            <w:bookmarkEnd w:id="287"/>
            <w:bookmarkEnd w:id="288"/>
          </w:p>
          <w:p w14:paraId="48A91A40">
            <w:pPr>
              <w:pStyle w:val="60"/>
              <w:ind w:firstLine="360" w:firstLineChars="150"/>
              <w:rPr>
                <w:rFonts w:ascii="仿宋_GB2312" w:hAnsi="Times New Roman" w:eastAsia="仿宋_GB2312" w:cs="Times New Roman"/>
              </w:rPr>
            </w:pPr>
            <w:bookmarkStart w:id="289" w:name="_Toc2521"/>
            <w:bookmarkStart w:id="290" w:name="_Toc12479"/>
            <w:bookmarkStart w:id="291" w:name="_Toc31106"/>
            <w:bookmarkStart w:id="292" w:name="_Toc12851"/>
            <w:bookmarkStart w:id="293" w:name="_Toc27252"/>
            <w:r>
              <w:rPr>
                <w:rFonts w:hint="eastAsia" w:ascii="仿宋_GB2312" w:hAnsi="Times New Roman" w:eastAsia="仿宋_GB2312" w:cs="Times New Roman"/>
              </w:rPr>
              <w:t>◆ 生态金融工程。主要发展草原碳金融、沙区生态旅游金融和黄灌区生态农业产业金融</w:t>
            </w:r>
            <w:bookmarkEnd w:id="289"/>
            <w:bookmarkEnd w:id="290"/>
            <w:bookmarkEnd w:id="291"/>
            <w:bookmarkEnd w:id="292"/>
            <w:bookmarkEnd w:id="293"/>
          </w:p>
          <w:p w14:paraId="605FE292">
            <w:pPr>
              <w:pStyle w:val="60"/>
              <w:ind w:firstLine="360" w:firstLineChars="150"/>
              <w:rPr>
                <w:rFonts w:ascii="Times New Roman" w:hAnsi="Times New Roman" w:eastAsia="仿宋_GB2312" w:cs="Times New Roman"/>
                <w:szCs w:val="24"/>
              </w:rPr>
            </w:pPr>
            <w:bookmarkStart w:id="294" w:name="_Toc10737"/>
            <w:bookmarkStart w:id="295" w:name="_Toc18113"/>
            <w:bookmarkStart w:id="296" w:name="_Toc8540"/>
            <w:bookmarkStart w:id="297" w:name="_Toc21065"/>
            <w:bookmarkStart w:id="298" w:name="_Toc21912"/>
            <w:r>
              <w:rPr>
                <w:rFonts w:hint="eastAsia" w:ascii="仿宋_GB2312" w:hAnsi="Times New Roman" w:eastAsia="仿宋_GB2312" w:cs="Times New Roman"/>
              </w:rPr>
              <w:t>◆ 恩格贝温泉康养基地、马兰湖健康产业园</w:t>
            </w:r>
            <w:bookmarkEnd w:id="294"/>
            <w:bookmarkEnd w:id="295"/>
            <w:bookmarkEnd w:id="296"/>
            <w:bookmarkEnd w:id="297"/>
            <w:bookmarkEnd w:id="298"/>
          </w:p>
        </w:tc>
      </w:tr>
    </w:tbl>
    <w:p w14:paraId="73516400">
      <w:pPr>
        <w:pStyle w:val="4"/>
        <w:spacing w:line="600" w:lineRule="exact"/>
        <w:rPr>
          <w:rFonts w:ascii="楷体_GB2312" w:hAnsi="楷体_GB2312" w:eastAsia="楷体_GB2312" w:cs="楷体_GB2312"/>
        </w:rPr>
      </w:pPr>
      <w:bookmarkStart w:id="299" w:name="_Toc25971"/>
      <w:bookmarkStart w:id="300" w:name="_Toc9497"/>
      <w:bookmarkStart w:id="301" w:name="_Toc4437"/>
      <w:bookmarkStart w:id="302" w:name="_Toc236027517"/>
      <w:bookmarkStart w:id="303" w:name="_Toc31122"/>
      <w:bookmarkStart w:id="304" w:name="_Toc4018"/>
      <w:bookmarkStart w:id="305" w:name="_Toc27997"/>
      <w:r>
        <w:rPr>
          <w:rFonts w:hint="eastAsia" w:ascii="楷体_GB2312" w:hAnsi="楷体_GB2312" w:eastAsia="楷体_GB2312" w:cs="楷体_GB2312"/>
        </w:rPr>
        <w:t>第五节 培育大数字经济，推动经济社会发展赋能升级</w:t>
      </w:r>
      <w:bookmarkEnd w:id="299"/>
      <w:bookmarkEnd w:id="300"/>
      <w:bookmarkEnd w:id="301"/>
      <w:bookmarkEnd w:id="302"/>
      <w:bookmarkEnd w:id="303"/>
      <w:bookmarkEnd w:id="304"/>
      <w:bookmarkEnd w:id="305"/>
    </w:p>
    <w:p w14:paraId="5BCD188D">
      <w:pPr>
        <w:spacing w:line="600" w:lineRule="exact"/>
        <w:ind w:firstLine="640"/>
        <w:rPr>
          <w:rFonts w:ascii="仿宋_GB2312" w:hAnsi="仿宋_GB2312" w:eastAsia="仿宋_GB2312" w:cs="仿宋_GB2312"/>
          <w:szCs w:val="32"/>
        </w:rPr>
      </w:pPr>
      <w:bookmarkStart w:id="306" w:name="_Toc12916"/>
      <w:bookmarkStart w:id="307" w:name="_Toc25294"/>
      <w:bookmarkStart w:id="308" w:name="_Toc1324"/>
      <w:bookmarkStart w:id="309" w:name="_Toc2594"/>
      <w:bookmarkStart w:id="310" w:name="_Toc25031"/>
      <w:r>
        <w:rPr>
          <w:rFonts w:ascii="Times New Roman" w:hAnsi="Times New Roman" w:eastAsia="仿宋_GB2312" w:cs="Times New Roman"/>
          <w:szCs w:val="32"/>
        </w:rPr>
        <w:t>坚持把发展数字经济作为事关全局和长远的战略任务，聚焦新型基础设施建设、产业园区培育、交流平台搭建、对外开放合作、发展环境优化等重点领域，促进实体经济和数字经济深度融合，加快推动数字产业化、产业数字化，助力产业转型和高质量发展。</w:t>
      </w:r>
      <w:r>
        <w:rPr>
          <w:rStyle w:val="34"/>
          <w:rFonts w:hint="eastAsia" w:ascii="楷体_GB2312" w:hAnsi="楷体_GB2312" w:eastAsia="楷体_GB2312" w:cs="楷体_GB2312"/>
        </w:rPr>
        <w:t>升级信息基础设施</w:t>
      </w:r>
      <w:r>
        <w:rPr>
          <w:rFonts w:hint="eastAsia" w:ascii="楷体_GB2312" w:hAnsi="楷体_GB2312" w:eastAsia="楷体_GB2312" w:cs="楷体_GB2312"/>
          <w:b/>
          <w:bCs/>
        </w:rPr>
        <w:t>。</w:t>
      </w:r>
      <w:r>
        <w:rPr>
          <w:rFonts w:hint="eastAsia" w:ascii="仿宋_GB2312" w:hAnsi="仿宋_GB2312" w:eastAsia="仿宋_GB2312" w:cs="仿宋_GB2312"/>
          <w:szCs w:val="32"/>
        </w:rPr>
        <w:t>用足用好“两新一重”政策机遇，加大网络提速降费力度，持续推进电信普遍服务试点，稳步推动5G网络建设和商用部署，加强大数据中心、人工智能、物联网、工业互联网等新型基础设施建设，推动传统网络基础设施数字化建设和改造，强化数字经济发展支撑，争创鄂尔多斯数字经济创新发展示范区。</w:t>
      </w:r>
      <w:r>
        <w:rPr>
          <w:rStyle w:val="34"/>
          <w:rFonts w:hint="eastAsia" w:ascii="楷体_GB2312" w:hAnsi="楷体_GB2312" w:eastAsia="楷体_GB2312" w:cs="楷体_GB2312"/>
        </w:rPr>
        <w:t>构建</w:t>
      </w:r>
      <w:r>
        <w:rPr>
          <w:rStyle w:val="34"/>
          <w:rFonts w:hint="eastAsia" w:ascii="楷体_GB2312" w:hAnsi="楷体_GB2312" w:eastAsia="楷体_GB2312" w:cs="楷体_GB2312"/>
          <w:lang w:val="en-US"/>
        </w:rPr>
        <w:t>数字</w:t>
      </w:r>
      <w:r>
        <w:rPr>
          <w:rStyle w:val="34"/>
          <w:rFonts w:hint="eastAsia" w:ascii="楷体_GB2312" w:hAnsi="楷体_GB2312" w:eastAsia="楷体_GB2312" w:cs="楷体_GB2312"/>
        </w:rPr>
        <w:t>产业融合生态。</w:t>
      </w:r>
      <w:r>
        <w:rPr>
          <w:rFonts w:hint="eastAsia" w:ascii="仿宋_GB2312" w:hAnsi="仿宋_GB2312" w:eastAsia="仿宋_GB2312" w:cs="仿宋_GB2312"/>
          <w:szCs w:val="32"/>
        </w:rPr>
        <w:t>深刻认识新一代信息技术产业对做优实体经济、做强经济实力、提高地区发展能级的重大战略意义，强化“互联网思维”，全面深化数字技术在农业、工业、服务业及社会各领域的应用，推动传统产业全产业链改造升级，大力拓展新模式、新业态、新产业，壮大经济高质量发展新动能。深入实施智能制造工程</w:t>
      </w:r>
      <w:r>
        <w:rPr>
          <w:rFonts w:hint="eastAsia" w:ascii="仿宋_GB2312" w:hAnsi="仿宋_GB2312" w:eastAsia="仿宋_GB2312" w:cs="仿宋_GB2312"/>
          <w:szCs w:val="32"/>
          <w:lang w:val="en-US"/>
        </w:rPr>
        <w:t>和工业互联网创新发展战略</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推进</w:t>
      </w:r>
      <w:r>
        <w:rPr>
          <w:rFonts w:hint="eastAsia" w:ascii="仿宋_GB2312" w:hAnsi="仿宋_GB2312" w:eastAsia="仿宋_GB2312" w:cs="仿宋_GB2312"/>
          <w:szCs w:val="32"/>
        </w:rPr>
        <w:t>煤电、化工、冶金、建材和现代物流等重点行业及特色产业集群数字化改造，</w:t>
      </w:r>
      <w:r>
        <w:rPr>
          <w:rFonts w:hint="eastAsia" w:ascii="仿宋_GB2312" w:hAnsi="仿宋_GB2312" w:eastAsia="仿宋_GB2312" w:cs="仿宋_GB2312"/>
          <w:szCs w:val="32"/>
          <w:lang w:val="en-US"/>
        </w:rPr>
        <w:t>推动</w:t>
      </w:r>
      <w:r>
        <w:rPr>
          <w:rFonts w:hint="eastAsia" w:ascii="仿宋_GB2312" w:hAnsi="仿宋_GB2312" w:eastAsia="仿宋_GB2312" w:cs="仿宋_GB2312"/>
          <w:szCs w:val="32"/>
        </w:rPr>
        <w:t>互联网、云计算、大数据、人工智能与制造业深度融合，加快工业企业全链条数字化改造，建设“智能工厂”“数字化车间”，实现制造业智能化、精准化、柔性化、绿色化发展。</w:t>
      </w:r>
      <w:r>
        <w:rPr>
          <w:rStyle w:val="49"/>
          <w:rFonts w:hint="eastAsia" w:ascii="仿宋_GB2312" w:hAnsi="仿宋_GB2312" w:eastAsia="仿宋_GB2312" w:cs="仿宋_GB2312"/>
          <w:szCs w:val="32"/>
          <w:lang w:val="en-US"/>
        </w:rPr>
        <w:t>加快智慧农业发展</w:t>
      </w:r>
      <w:r>
        <w:rPr>
          <w:rStyle w:val="49"/>
          <w:rFonts w:ascii="仿宋_GB2312" w:hAnsi="仿宋_GB2312" w:eastAsia="仿宋_GB2312" w:cs="仿宋_GB2312"/>
          <w:szCs w:val="32"/>
        </w:rPr>
        <w:t>，</w:t>
      </w:r>
      <w:r>
        <w:rPr>
          <w:rStyle w:val="49"/>
          <w:rFonts w:hint="eastAsia" w:ascii="仿宋_GB2312" w:hAnsi="仿宋_GB2312" w:eastAsia="仿宋_GB2312" w:cs="仿宋_GB2312"/>
          <w:szCs w:val="32"/>
          <w:lang w:val="en-US"/>
        </w:rPr>
        <w:t>推动在线医疗、健康养老、便民服务、网络教育等生活性服务业智能化升级。</w:t>
      </w:r>
      <w:r>
        <w:rPr>
          <w:rStyle w:val="34"/>
          <w:rFonts w:hint="eastAsia" w:ascii="楷体_GB2312" w:hAnsi="楷体_GB2312" w:eastAsia="楷体_GB2312" w:cs="楷体_GB2312"/>
        </w:rPr>
        <w:t>加强数字化治理。</w:t>
      </w:r>
      <w:r>
        <w:rPr>
          <w:rFonts w:hint="eastAsia" w:ascii="仿宋_GB2312" w:hAnsi="仿宋_GB2312" w:eastAsia="仿宋_GB2312" w:cs="仿宋_GB2312"/>
          <w:szCs w:val="32"/>
        </w:rPr>
        <w:t>完善政策配套，提升全民数字技能，扩大和升级信息消费，</w:t>
      </w:r>
      <w:r>
        <w:rPr>
          <w:rStyle w:val="49"/>
          <w:rFonts w:hint="eastAsia" w:ascii="仿宋_GB2312" w:hAnsi="仿宋_GB2312" w:eastAsia="仿宋_GB2312" w:cs="仿宋_GB2312"/>
          <w:szCs w:val="32"/>
        </w:rPr>
        <w:t>拓展数字经济发展新空间。</w:t>
      </w:r>
      <w:r>
        <w:rPr>
          <w:rFonts w:hint="eastAsia" w:ascii="仿宋_GB2312" w:hAnsi="仿宋_GB2312" w:eastAsia="仿宋_GB2312" w:cs="仿宋_GB2312"/>
          <w:szCs w:val="32"/>
        </w:rPr>
        <w:t>加强数字社会、数字政府和新型智慧城市建设，提升公共服务、社会治理等数字化智能化水平，加快社会治理体系和治理能力现代化步伐。强化高端人才培养引进，全面提升网络、数据和个人信息等安全保障能力，推动数字经济可持续发展。</w:t>
      </w:r>
      <w:r>
        <w:rPr>
          <w:rStyle w:val="34"/>
          <w:rFonts w:hint="eastAsia" w:ascii="楷体_GB2312" w:hAnsi="楷体_GB2312" w:eastAsia="楷体_GB2312" w:cs="楷体_GB2312"/>
        </w:rPr>
        <w:t>推动数字产业协同发展。</w:t>
      </w:r>
      <w:r>
        <w:rPr>
          <w:rFonts w:hint="eastAsia" w:ascii="仿宋_GB2312" w:hAnsi="仿宋_GB2312" w:eastAsia="仿宋_GB2312" w:cs="仿宋_GB2312"/>
          <w:szCs w:val="32"/>
        </w:rPr>
        <w:t>立足打造呼包鄂大数据综合试验区，主动对接呼包鄂、服务呼包鄂，在培育和引进各类信息技术企业、推动三晌梁工业园区数字化能级提升、工业关键核心技术攻关上取得重大进展，加快数字产业化步伐，推动数字经济繁荣发展。到2025年，全旗基本形成高速、移动、安全、泛在的数字化基础设施格局，工业互联网、大数据、人工智能等新技术得到广泛应用，全旗信息资源目录可共享率达到95%、可开放率达到70%，基本建成鄂尔多斯市数字产业发展新兴区、制造业数字化转型示范区、服务业数字化发展先行区。</w:t>
      </w:r>
      <w:bookmarkEnd w:id="306"/>
      <w:bookmarkEnd w:id="307"/>
      <w:bookmarkEnd w:id="308"/>
      <w:bookmarkEnd w:id="309"/>
      <w:bookmarkEnd w:id="310"/>
      <w:bookmarkStart w:id="311" w:name="_bookmark38"/>
      <w:bookmarkEnd w:id="311"/>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02F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84" w:hRule="atLeast"/>
        </w:trPr>
        <w:tc>
          <w:tcPr>
            <w:tcW w:w="9064" w:type="dxa"/>
            <w:shd w:val="clear" w:color="auto" w:fill="FDE9D9" w:themeFill="accent6" w:themeFillShade="D9" w:themeFillTint="33"/>
            <w:vAlign w:val="center"/>
          </w:tcPr>
          <w:p w14:paraId="5BEE587E">
            <w:pPr>
              <w:spacing w:line="240" w:lineRule="auto"/>
              <w:ind w:firstLine="0" w:firstLineChars="0"/>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专栏6：鄂尔多斯数字经济创新发展示范区</w:t>
            </w:r>
          </w:p>
        </w:tc>
      </w:tr>
      <w:tr w14:paraId="0C27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064" w:type="dxa"/>
            <w:shd w:val="clear" w:color="auto" w:fill="FDE9D9" w:themeFill="accent6" w:themeFillShade="D9" w:themeFillTint="33"/>
            <w:vAlign w:val="center"/>
          </w:tcPr>
          <w:p w14:paraId="39B6290A">
            <w:pPr>
              <w:pStyle w:val="60"/>
              <w:spacing w:line="240" w:lineRule="auto"/>
              <w:jc w:val="center"/>
              <w:rPr>
                <w:rFonts w:ascii="Times New Roman" w:hAnsi="Times New Roman" w:eastAsia="仿宋_GB2312" w:cs="Times New Roman"/>
                <w:sz w:val="28"/>
                <w:szCs w:val="28"/>
              </w:rPr>
            </w:pPr>
            <w:bookmarkStart w:id="312" w:name="_Toc19465"/>
            <w:bookmarkStart w:id="313" w:name="_Toc16588"/>
            <w:bookmarkStart w:id="314" w:name="_Toc30250"/>
            <w:bookmarkStart w:id="315" w:name="_Toc16372"/>
            <w:bookmarkStart w:id="316" w:name="_Toc7469"/>
            <w:r>
              <w:rPr>
                <w:rFonts w:ascii="Times New Roman" w:hAnsi="Times New Roman" w:eastAsia="仿宋_GB2312" w:cs="Times New Roman"/>
                <w:b/>
                <w:bCs/>
                <w:sz w:val="28"/>
                <w:szCs w:val="28"/>
              </w:rPr>
              <w:t>重大战略</w:t>
            </w:r>
            <w:bookmarkEnd w:id="312"/>
            <w:bookmarkEnd w:id="313"/>
            <w:bookmarkEnd w:id="314"/>
            <w:bookmarkEnd w:id="315"/>
            <w:bookmarkEnd w:id="316"/>
          </w:p>
        </w:tc>
      </w:tr>
      <w:tr w14:paraId="5F37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51BFF411">
            <w:pPr>
              <w:pStyle w:val="60"/>
              <w:ind w:firstLine="480" w:firstLineChars="200"/>
              <w:rPr>
                <w:rFonts w:ascii="Times New Roman" w:hAnsi="Times New Roman" w:eastAsia="仿宋_GB2312" w:cs="Times New Roman"/>
              </w:rPr>
            </w:pPr>
            <w:bookmarkStart w:id="317" w:name="_Toc27437"/>
            <w:bookmarkStart w:id="318" w:name="_Toc23664"/>
            <w:bookmarkStart w:id="319" w:name="_Toc16359"/>
            <w:bookmarkStart w:id="320" w:name="_Toc31118"/>
            <w:bookmarkStart w:id="321" w:name="_Toc26610"/>
            <w:r>
              <w:rPr>
                <w:rFonts w:ascii="Times New Roman" w:hAnsi="Times New Roman" w:eastAsia="仿宋_GB2312" w:cs="Times New Roman"/>
              </w:rPr>
              <w:t>◆  呼包鄂大数据综合试验区</w:t>
            </w:r>
          </w:p>
          <w:p w14:paraId="79889479">
            <w:pPr>
              <w:pStyle w:val="60"/>
              <w:ind w:firstLine="480" w:firstLineChars="200"/>
              <w:rPr>
                <w:rFonts w:ascii="Times New Roman" w:hAnsi="Times New Roman" w:eastAsia="仿宋_GB2312" w:cs="Times New Roman"/>
              </w:rPr>
            </w:pPr>
            <w:r>
              <w:rPr>
                <w:rFonts w:ascii="Times New Roman" w:hAnsi="Times New Roman" w:eastAsia="仿宋_GB2312" w:cs="Times New Roman"/>
              </w:rPr>
              <w:t>◆  鄂尔多斯市数字产业发展新兴区</w:t>
            </w:r>
          </w:p>
          <w:p w14:paraId="4A7C2741">
            <w:pPr>
              <w:pStyle w:val="60"/>
              <w:ind w:firstLine="480" w:firstLineChars="200"/>
              <w:rPr>
                <w:rFonts w:ascii="Times New Roman" w:hAnsi="Times New Roman" w:eastAsia="仿宋_GB2312" w:cs="Times New Roman"/>
              </w:rPr>
            </w:pPr>
            <w:r>
              <w:rPr>
                <w:rFonts w:ascii="Times New Roman" w:hAnsi="Times New Roman" w:eastAsia="仿宋_GB2312" w:cs="Times New Roman"/>
              </w:rPr>
              <w:t>◆  制造业数字化转型示范区</w:t>
            </w:r>
          </w:p>
          <w:p w14:paraId="4B4D177A">
            <w:pPr>
              <w:pStyle w:val="60"/>
              <w:ind w:firstLine="480" w:firstLineChars="200"/>
              <w:rPr>
                <w:rFonts w:ascii="Times New Roman" w:hAnsi="Times New Roman" w:eastAsia="仿宋_GB2312" w:cs="Times New Roman"/>
                <w:szCs w:val="24"/>
                <w:shd w:val="pct10" w:color="auto" w:fill="FFFFFF"/>
              </w:rPr>
            </w:pPr>
            <w:r>
              <w:rPr>
                <w:rFonts w:ascii="Times New Roman" w:hAnsi="Times New Roman" w:eastAsia="仿宋_GB2312" w:cs="Times New Roman"/>
              </w:rPr>
              <w:t>◆  服务业数字化发展先行区</w:t>
            </w:r>
            <w:bookmarkEnd w:id="317"/>
            <w:bookmarkEnd w:id="318"/>
            <w:bookmarkEnd w:id="319"/>
            <w:bookmarkEnd w:id="320"/>
            <w:bookmarkEnd w:id="321"/>
          </w:p>
        </w:tc>
      </w:tr>
      <w:tr w14:paraId="47F9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64" w:type="dxa"/>
            <w:shd w:val="clear" w:color="auto" w:fill="FDEADA" w:themeFill="accent6" w:themeFillShade="D9" w:themeFillTint="32"/>
            <w:vAlign w:val="center"/>
          </w:tcPr>
          <w:p w14:paraId="19CE0539">
            <w:pPr>
              <w:pStyle w:val="60"/>
              <w:spacing w:line="240" w:lineRule="auto"/>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重大工程</w:t>
            </w:r>
          </w:p>
        </w:tc>
      </w:tr>
      <w:tr w14:paraId="618B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F6865DF">
            <w:pPr>
              <w:pStyle w:val="62"/>
              <w:numPr>
                <w:ilvl w:val="0"/>
                <w:numId w:val="2"/>
              </w:numPr>
              <w:spacing w:line="360" w:lineRule="auto"/>
              <w:ind w:firstLineChars="0"/>
              <w:rPr>
                <w:rStyle w:val="61"/>
                <w:rFonts w:ascii="Times New Roman" w:hAnsi="Times New Roman" w:eastAsia="仿宋_GB2312" w:cs="Times New Roman"/>
                <w:szCs w:val="24"/>
                <w:shd w:val="pct10" w:color="auto" w:fill="FFFFFF"/>
              </w:rPr>
            </w:pPr>
            <w:r>
              <w:rPr>
                <w:rStyle w:val="61"/>
                <w:rFonts w:ascii="Times New Roman" w:hAnsi="Times New Roman" w:eastAsia="仿宋_GB2312" w:cs="Times New Roman"/>
              </w:rPr>
              <w:t xml:space="preserve"> 基础设施数字化建设和改造工程</w:t>
            </w:r>
          </w:p>
          <w:p w14:paraId="57D9AEAF">
            <w:pPr>
              <w:pStyle w:val="62"/>
              <w:numPr>
                <w:ilvl w:val="0"/>
                <w:numId w:val="2"/>
              </w:numPr>
              <w:spacing w:line="360" w:lineRule="auto"/>
              <w:ind w:firstLineChars="0"/>
              <w:rPr>
                <w:rStyle w:val="61"/>
                <w:rFonts w:ascii="Times New Roman" w:hAnsi="Times New Roman" w:eastAsia="仿宋_GB2312" w:cs="Times New Roman"/>
                <w:szCs w:val="24"/>
                <w:shd w:val="pct10" w:color="auto" w:fill="FFFFFF"/>
              </w:rPr>
            </w:pPr>
            <w:r>
              <w:rPr>
                <w:rStyle w:val="61"/>
                <w:rFonts w:ascii="Times New Roman" w:hAnsi="Times New Roman" w:eastAsia="仿宋_GB2312" w:cs="Times New Roman"/>
              </w:rPr>
              <w:t xml:space="preserve"> 智能制造工程</w:t>
            </w:r>
          </w:p>
          <w:p w14:paraId="08AEE7B7">
            <w:pPr>
              <w:pStyle w:val="62"/>
              <w:numPr>
                <w:ilvl w:val="0"/>
                <w:numId w:val="2"/>
              </w:numPr>
              <w:spacing w:line="360" w:lineRule="auto"/>
              <w:ind w:firstLineChars="0"/>
              <w:rPr>
                <w:rStyle w:val="61"/>
                <w:rFonts w:ascii="Times New Roman" w:hAnsi="Times New Roman" w:eastAsia="仿宋_GB2312" w:cs="Times New Roman"/>
                <w:szCs w:val="24"/>
                <w:shd w:val="pct10" w:color="auto" w:fill="FFFFFF"/>
              </w:rPr>
            </w:pPr>
            <w:r>
              <w:rPr>
                <w:rStyle w:val="61"/>
                <w:rFonts w:ascii="Times New Roman" w:hAnsi="Times New Roman" w:eastAsia="仿宋_GB2312" w:cs="Times New Roman"/>
              </w:rPr>
              <w:t xml:space="preserve"> 工业互联网创新发展工程</w:t>
            </w:r>
          </w:p>
          <w:p w14:paraId="44E3B6EC">
            <w:pPr>
              <w:pStyle w:val="62"/>
              <w:numPr>
                <w:ilvl w:val="0"/>
                <w:numId w:val="2"/>
              </w:numPr>
              <w:spacing w:line="360" w:lineRule="auto"/>
              <w:ind w:firstLineChars="0"/>
              <w:rPr>
                <w:rFonts w:ascii="Times New Roman" w:hAnsi="Times New Roman" w:eastAsia="仿宋_GB2312" w:cs="Times New Roman"/>
                <w:sz w:val="24"/>
                <w:szCs w:val="24"/>
                <w:shd w:val="pct10" w:color="auto" w:fill="FFFFFF"/>
              </w:rPr>
            </w:pPr>
            <w:r>
              <w:rPr>
                <w:rStyle w:val="61"/>
                <w:rFonts w:ascii="Times New Roman" w:hAnsi="Times New Roman" w:eastAsia="仿宋_GB2312" w:cs="Times New Roman"/>
              </w:rPr>
              <w:t xml:space="preserve"> 新型智慧城市建设工程。</w:t>
            </w:r>
          </w:p>
        </w:tc>
      </w:tr>
    </w:tbl>
    <w:p w14:paraId="70CCC9A6">
      <w:pPr>
        <w:pStyle w:val="3"/>
        <w:spacing w:line="620" w:lineRule="exact"/>
        <w:rPr>
          <w:rFonts w:ascii="Times New Roman" w:hAnsi="Times New Roman" w:cs="Times New Roman"/>
          <w:bCs w:val="0"/>
          <w:szCs w:val="32"/>
          <w:shd w:val="clear" w:color="auto" w:fill="FFFFFF"/>
          <w:lang w:val="en-US"/>
        </w:rPr>
      </w:pPr>
      <w:bookmarkStart w:id="322" w:name="_Toc30682"/>
      <w:bookmarkStart w:id="323" w:name="_Toc24572"/>
      <w:bookmarkStart w:id="324" w:name="_Toc14642"/>
      <w:bookmarkStart w:id="325" w:name="_Toc4072"/>
      <w:bookmarkStart w:id="326" w:name="_Toc13417"/>
      <w:bookmarkStart w:id="327" w:name="_Toc25163"/>
      <w:bookmarkStart w:id="328" w:name="_Toc512182210"/>
      <w:r>
        <w:rPr>
          <w:rFonts w:ascii="Times New Roman" w:hAnsi="Times New Roman" w:cs="Times New Roman"/>
          <w:bCs w:val="0"/>
          <w:szCs w:val="32"/>
          <w:shd w:val="clear" w:color="auto" w:fill="FFFFFF"/>
          <w:lang w:val="en-US"/>
        </w:rPr>
        <w:t xml:space="preserve">第五章  </w:t>
      </w:r>
      <w:r>
        <w:rPr>
          <w:rFonts w:ascii="Times New Roman" w:hAnsi="Times New Roman" w:cs="Times New Roman"/>
          <w:bCs w:val="0"/>
          <w:szCs w:val="32"/>
          <w:shd w:val="clear" w:color="auto" w:fill="FFFFFF"/>
          <w:lang w:val="en-US"/>
        </w:rPr>
        <w:tab/>
      </w:r>
      <w:r>
        <w:rPr>
          <w:rFonts w:ascii="Times New Roman" w:hAnsi="Times New Roman" w:cs="Times New Roman"/>
          <w:bCs w:val="0"/>
          <w:szCs w:val="32"/>
          <w:shd w:val="clear" w:color="auto" w:fill="FFFFFF"/>
          <w:lang w:val="en-US"/>
        </w:rPr>
        <w:t>大力推动改革创新，全面塑造发展新优势</w:t>
      </w:r>
      <w:bookmarkEnd w:id="243"/>
      <w:bookmarkEnd w:id="322"/>
      <w:bookmarkEnd w:id="323"/>
      <w:bookmarkEnd w:id="324"/>
      <w:bookmarkEnd w:id="325"/>
      <w:bookmarkEnd w:id="326"/>
      <w:bookmarkEnd w:id="327"/>
      <w:bookmarkEnd w:id="328"/>
      <w:bookmarkStart w:id="329" w:name="_Toc59098764"/>
    </w:p>
    <w:p w14:paraId="26DD1C56">
      <w:pPr>
        <w:spacing w:line="62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聚焦区域发展大局和现代化建设重大需求，以提升科技创新的支撑引领作用为目标，以深化各领域改革为动力，在发展理念、体制机制、科技研发、成果转化、平台建设、人才战略等方面再提升、再发力，推动技术升级、产品升级、产业升级，加快创新型城市建设，提升自主革新能力，创建“黄河几字弯”协同创新高地。</w:t>
      </w:r>
    </w:p>
    <w:p w14:paraId="62EB5DE7">
      <w:pPr>
        <w:pStyle w:val="4"/>
        <w:spacing w:line="620" w:lineRule="exact"/>
        <w:rPr>
          <w:rFonts w:ascii="楷体_GB2312" w:hAnsi="楷体_GB2312" w:eastAsia="楷体_GB2312" w:cs="楷体_GB2312"/>
        </w:rPr>
      </w:pPr>
      <w:bookmarkStart w:id="330" w:name="_Toc2037"/>
      <w:bookmarkStart w:id="331" w:name="_Toc28632"/>
      <w:bookmarkStart w:id="332" w:name="_Toc1131946294"/>
      <w:bookmarkStart w:id="333" w:name="_Toc4916"/>
      <w:bookmarkStart w:id="334" w:name="_Toc13651"/>
      <w:bookmarkStart w:id="335" w:name="_Toc8978"/>
      <w:bookmarkStart w:id="336" w:name="_Toc29262"/>
      <w:bookmarkStart w:id="337" w:name="_Toc5320"/>
      <w:bookmarkStart w:id="338" w:name="_Toc4167"/>
      <w:bookmarkStart w:id="339" w:name="_Toc4140"/>
      <w:bookmarkStart w:id="340" w:name="_Toc31740"/>
      <w:bookmarkStart w:id="341" w:name="_Toc22877"/>
      <w:r>
        <w:rPr>
          <w:rFonts w:hint="eastAsia" w:ascii="楷体_GB2312" w:hAnsi="楷体_GB2312" w:eastAsia="楷体_GB2312" w:cs="楷体_GB2312"/>
        </w:rPr>
        <w:t>第</w:t>
      </w:r>
      <w:r>
        <w:rPr>
          <w:rFonts w:hint="eastAsia" w:ascii="楷体_GB2312" w:hAnsi="楷体_GB2312" w:eastAsia="楷体_GB2312" w:cs="楷体_GB2312"/>
          <w:lang w:val="en-US"/>
        </w:rPr>
        <w:t>一</w:t>
      </w:r>
      <w:r>
        <w:rPr>
          <w:rFonts w:hint="eastAsia" w:ascii="楷体_GB2312" w:hAnsi="楷体_GB2312" w:eastAsia="楷体_GB2312" w:cs="楷体_GB2312"/>
        </w:rPr>
        <w:t xml:space="preserve">节 </w:t>
      </w:r>
      <w:r>
        <w:rPr>
          <w:rFonts w:hint="eastAsia" w:ascii="楷体_GB2312" w:hAnsi="楷体_GB2312" w:eastAsia="楷体_GB2312" w:cs="楷体_GB2312"/>
          <w:lang w:val="en-US"/>
        </w:rPr>
        <w:t>持续</w:t>
      </w:r>
      <w:r>
        <w:rPr>
          <w:rFonts w:hint="eastAsia" w:ascii="楷体_GB2312" w:hAnsi="楷体_GB2312" w:eastAsia="楷体_GB2312" w:cs="楷体_GB2312"/>
        </w:rPr>
        <w:t>深化各领域改革</w:t>
      </w:r>
      <w:r>
        <w:rPr>
          <w:rFonts w:hint="eastAsia" w:ascii="楷体_GB2312" w:hAnsi="楷体_GB2312" w:eastAsia="楷体_GB2312" w:cs="楷体_GB2312"/>
          <w:lang w:val="en-US"/>
        </w:rPr>
        <w:t>，</w:t>
      </w:r>
      <w:bookmarkEnd w:id="330"/>
      <w:bookmarkEnd w:id="331"/>
      <w:bookmarkEnd w:id="332"/>
      <w:bookmarkEnd w:id="333"/>
      <w:bookmarkEnd w:id="334"/>
      <w:bookmarkEnd w:id="335"/>
      <w:r>
        <w:rPr>
          <w:rFonts w:hint="eastAsia" w:ascii="楷体_GB2312" w:hAnsi="楷体_GB2312" w:eastAsia="楷体_GB2312" w:cs="楷体_GB2312"/>
          <w:lang w:val="en-US"/>
        </w:rPr>
        <w:t>全面优化营商环境</w:t>
      </w:r>
      <w:bookmarkEnd w:id="336"/>
    </w:p>
    <w:p w14:paraId="00FB17B4">
      <w:pPr>
        <w:spacing w:line="620" w:lineRule="exact"/>
        <w:ind w:firstLine="640"/>
        <w:rPr>
          <w:rFonts w:ascii="Times New Roman" w:hAnsi="Times New Roman" w:eastAsia="仿宋_GB2312" w:cs="Times New Roman"/>
          <w:szCs w:val="32"/>
          <w:lang w:val="en-US"/>
        </w:rPr>
      </w:pPr>
      <w:bookmarkStart w:id="342" w:name="_Toc14159"/>
      <w:r>
        <w:rPr>
          <w:rFonts w:ascii="Times New Roman" w:hAnsi="Times New Roman" w:eastAsia="仿宋_GB2312" w:cs="Times New Roman"/>
          <w:szCs w:val="32"/>
          <w:lang w:val="en-US"/>
        </w:rPr>
        <w:t>充分发挥市场在资源配置中的决定性作用，更好发挥政府职能，推动有效市场和有为政府更好结合。持续深化重点领域改革，最大限度释放改革创新制度红利，激发各类市场主体活力，创建自治区营商环境典范旗。</w:t>
      </w:r>
      <w:bookmarkEnd w:id="342"/>
    </w:p>
    <w:p w14:paraId="3E1148E1">
      <w:pPr>
        <w:spacing w:line="600" w:lineRule="exact"/>
        <w:ind w:firstLine="643"/>
        <w:rPr>
          <w:rFonts w:ascii="仿宋_GB2312" w:hAnsi="仿宋_GB2312" w:eastAsia="仿宋_GB2312" w:cs="仿宋_GB2312"/>
          <w:szCs w:val="32"/>
        </w:rPr>
      </w:pPr>
      <w:bookmarkStart w:id="343" w:name="_Toc15404"/>
      <w:bookmarkStart w:id="344" w:name="_Toc12377"/>
      <w:bookmarkStart w:id="345" w:name="_Toc1986"/>
      <w:bookmarkStart w:id="346" w:name="_Toc16882"/>
      <w:bookmarkStart w:id="347" w:name="_Toc16023"/>
      <w:r>
        <w:rPr>
          <w:rStyle w:val="34"/>
          <w:rFonts w:hint="eastAsia" w:ascii="楷体_GB2312" w:hAnsi="楷体_GB2312" w:eastAsia="楷体_GB2312" w:cs="楷体_GB2312"/>
          <w:lang w:val="en-US"/>
        </w:rPr>
        <w:t>持续深化“放管服”改革</w:t>
      </w:r>
      <w:r>
        <w:rPr>
          <w:rStyle w:val="34"/>
          <w:rFonts w:hint="eastAsia" w:ascii="楷体_GB2312" w:hAnsi="楷体_GB2312" w:eastAsia="楷体_GB2312" w:cs="楷体_GB2312"/>
        </w:rPr>
        <w:t>。</w:t>
      </w:r>
      <w:r>
        <w:rPr>
          <w:rFonts w:hint="eastAsia" w:ascii="仿宋_GB2312" w:hAnsi="仿宋_GB2312" w:eastAsia="仿宋_GB2312" w:cs="仿宋_GB2312"/>
          <w:szCs w:val="32"/>
          <w:lang w:val="en-US"/>
        </w:rPr>
        <w:t>全面提升政务服务标准化、规范化、便利化水平，拓宽服务范围，提升服务效率。实行政府权责清单制度，进一步减少审批环节，优化审批流程，创新审批方式，规范审批行为，打造“宽进、快办、严管、便民、公开”的审批服务模式。加强政务服务标准化建设，建立健全网上办理、“容缺受理”、“一窗受理”、政务服务“好差评”等工作机制。全面推行“审批不见面，最多跑一次”，行政许可和公共服务类事项，原则上全部实现网上全程可办，为企业群众提供“24小时不打烊”在线政务服务。大力推进以“证照分离”为重点的商事制度改革，全力推进工程项目建设审批制度改革，试点推行工业“标准地”改革。推动政务服务大厅与政务服务平台全面对接融合，方便企业群众自主选择办理渠道和方式。着力落实放管结合</w:t>
      </w:r>
      <w:r>
        <w:rPr>
          <w:rFonts w:hint="eastAsia" w:ascii="仿宋_GB2312" w:hAnsi="仿宋_GB2312" w:eastAsia="仿宋_GB2312" w:cs="仿宋_GB2312"/>
          <w:szCs w:val="32"/>
        </w:rPr>
        <w:t>，创新监管机制和监管方式，全面推行“双随机、一公开”；推行告知承诺制，强化事中事后监管；推行差异化监管，对新产业、新业态实行包容审慎监管，减轻企业负担；加快推进智能监管，利用“互联网+监管”平台，实现全程监管记录。优化完善政府公共服务，打造便捷高效公共服务队伍，鼓励社会力量和中介机构参与公共服务建设，推行政府帮办、代办、盯办等便企改革。</w:t>
      </w:r>
      <w:r>
        <w:rPr>
          <w:rFonts w:hint="eastAsia" w:ascii="仿宋_GB2312" w:hAnsi="仿宋_GB2312" w:eastAsia="仿宋_GB2312" w:cs="仿宋_GB2312"/>
          <w:szCs w:val="32"/>
          <w:lang w:val="en-US"/>
        </w:rPr>
        <w:t>全面延伸</w:t>
      </w:r>
      <w:r>
        <w:rPr>
          <w:rFonts w:hint="eastAsia" w:ascii="仿宋_GB2312" w:hAnsi="仿宋_GB2312" w:eastAsia="仿宋_GB2312" w:cs="仿宋_GB2312"/>
          <w:szCs w:val="32"/>
        </w:rPr>
        <w:t>服务</w:t>
      </w:r>
      <w:r>
        <w:rPr>
          <w:rFonts w:hint="eastAsia" w:ascii="仿宋_GB2312" w:hAnsi="仿宋_GB2312" w:eastAsia="仿宋_GB2312" w:cs="仿宋_GB2312"/>
          <w:szCs w:val="32"/>
          <w:lang w:val="en-US"/>
        </w:rPr>
        <w:t>触角</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推动政务服务进社区进农村牧区</w:t>
      </w:r>
      <w:r>
        <w:rPr>
          <w:rFonts w:hint="eastAsia" w:ascii="仿宋_GB2312" w:hAnsi="仿宋_GB2312" w:eastAsia="仿宋_GB2312" w:cs="仿宋_GB2312"/>
          <w:szCs w:val="32"/>
        </w:rPr>
        <w:t>，深化“3+X”网格化服务管理</w:t>
      </w:r>
      <w:r>
        <w:rPr>
          <w:rFonts w:hint="eastAsia" w:ascii="仿宋_GB2312" w:hAnsi="仿宋_GB2312" w:eastAsia="仿宋_GB2312" w:cs="仿宋_GB2312"/>
          <w:szCs w:val="32"/>
          <w:lang w:val="en-US"/>
        </w:rPr>
        <w:t>模式</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提升便民服务智能化水平</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积极推进金融、人才、奖励、税费等政策在线上线下办事大厅公开，广泛接受社会各界监督。</w:t>
      </w:r>
      <w:bookmarkEnd w:id="343"/>
      <w:bookmarkEnd w:id="344"/>
      <w:bookmarkEnd w:id="345"/>
      <w:bookmarkEnd w:id="346"/>
      <w:bookmarkEnd w:id="347"/>
      <w:bookmarkStart w:id="348" w:name="_Toc7300"/>
    </w:p>
    <w:p w14:paraId="62C6E6B2">
      <w:pPr>
        <w:spacing w:line="600" w:lineRule="exact"/>
        <w:ind w:firstLine="643"/>
        <w:rPr>
          <w:rFonts w:ascii="Times New Roman" w:hAnsi="Times New Roman" w:cs="Times New Roman"/>
        </w:rPr>
      </w:pPr>
      <w:bookmarkStart w:id="349" w:name="_Toc26558"/>
      <w:bookmarkStart w:id="350" w:name="_Toc1157"/>
      <w:bookmarkStart w:id="351" w:name="_Toc27893"/>
      <w:bookmarkStart w:id="352" w:name="_Toc22521"/>
      <w:bookmarkStart w:id="353" w:name="_Toc10066"/>
      <w:r>
        <w:rPr>
          <w:rStyle w:val="34"/>
          <w:rFonts w:hint="eastAsia" w:ascii="楷体_GB2312" w:hAnsi="楷体_GB2312" w:eastAsia="楷体_GB2312" w:cs="楷体_GB2312"/>
          <w:lang w:val="en-US"/>
        </w:rPr>
        <w:t>加快各类要素市场改革</w:t>
      </w:r>
      <w:bookmarkEnd w:id="348"/>
      <w:r>
        <w:rPr>
          <w:rFonts w:hint="eastAsia" w:ascii="楷体_GB2312" w:hAnsi="楷体_GB2312" w:eastAsia="楷体_GB2312" w:cs="楷体_GB2312"/>
          <w:b/>
          <w:bCs/>
        </w:rPr>
        <w:t>。</w:t>
      </w:r>
      <w:r>
        <w:rPr>
          <w:rFonts w:hint="eastAsia" w:ascii="仿宋_GB2312" w:hAnsi="仿宋_GB2312" w:eastAsia="仿宋_GB2312" w:cs="仿宋_GB2312"/>
          <w:szCs w:val="32"/>
        </w:rPr>
        <w:t>加快要素价格市场化改革，健全劳动、资本、土地、知识、技术、管理、数据等生产要素，</w:t>
      </w:r>
      <w:r>
        <w:rPr>
          <w:rFonts w:hint="eastAsia" w:ascii="仿宋_GB2312" w:hAnsi="仿宋_GB2312" w:eastAsia="仿宋_GB2312" w:cs="仿宋_GB2312"/>
          <w:szCs w:val="32"/>
          <w:lang w:val="en-US"/>
        </w:rPr>
        <w:t>建立</w:t>
      </w:r>
      <w:r>
        <w:rPr>
          <w:rFonts w:hint="eastAsia" w:ascii="仿宋_GB2312" w:hAnsi="仿宋_GB2312" w:eastAsia="仿宋_GB2312" w:cs="仿宋_GB2312"/>
          <w:szCs w:val="32"/>
        </w:rPr>
        <w:t>由市场评价贡献、市场决定价格、贡献决定报酬的机制，形成要素价格市场决定、流动自主有序、配置高效公平的新局面。创新要素市场化配置方式，运用市场化机制盘活存量土地和低效用地，健全工业用地多主体、多方式供地制度，提高土地集约化利用水平。畅通劳动力和人才社会性流动渠道，加快建立劳动力、人才流动政策体系和交流合作机制。着力降低企业要素性成本，围绕税费、融资、用能、物流、人工和制度性交易等方面降成本综合施策，打造“成本洼地”。</w:t>
      </w:r>
      <w:r>
        <w:rPr>
          <w:rFonts w:hint="eastAsia" w:ascii="仿宋_GB2312" w:hAnsi="仿宋_GB2312" w:eastAsia="仿宋_GB2312" w:cs="仿宋_GB2312"/>
          <w:szCs w:val="32"/>
          <w:lang w:val="en-US"/>
        </w:rPr>
        <w:t>推进投融资制度改革</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明确完善政府</w:t>
      </w:r>
      <w:r>
        <w:rPr>
          <w:rFonts w:hint="eastAsia" w:ascii="仿宋_GB2312" w:hAnsi="仿宋_GB2312" w:eastAsia="仿宋_GB2312" w:cs="仿宋_GB2312"/>
          <w:szCs w:val="32"/>
        </w:rPr>
        <w:t>投资，改善企业投资管理，</w:t>
      </w:r>
      <w:r>
        <w:rPr>
          <w:rFonts w:hint="eastAsia" w:ascii="仿宋_GB2312" w:hAnsi="仿宋_GB2312" w:eastAsia="仿宋_GB2312" w:cs="仿宋_GB2312"/>
          <w:szCs w:val="32"/>
          <w:lang w:val="en-US"/>
        </w:rPr>
        <w:t>创新投融资机制</w:t>
      </w:r>
      <w:r>
        <w:rPr>
          <w:rFonts w:hint="eastAsia" w:ascii="仿宋_GB2312" w:hAnsi="仿宋_GB2312" w:eastAsia="仿宋_GB2312" w:cs="仿宋_GB2312"/>
          <w:szCs w:val="32"/>
        </w:rPr>
        <w:t>，充分激发社会投资动力和活力。</w:t>
      </w:r>
      <w:bookmarkEnd w:id="349"/>
      <w:bookmarkEnd w:id="350"/>
      <w:bookmarkEnd w:id="351"/>
      <w:bookmarkEnd w:id="352"/>
      <w:bookmarkEnd w:id="353"/>
      <w:bookmarkStart w:id="354" w:name="_Toc1135117434_WPSOffice_Level2"/>
      <w:bookmarkStart w:id="355" w:name="_Toc1240643972"/>
      <w:r>
        <w:rPr>
          <w:rFonts w:hint="eastAsia" w:ascii="仿宋_GB2312" w:hAnsi="仿宋_GB2312" w:eastAsia="仿宋_GB2312" w:cs="仿宋_GB2312"/>
          <w:szCs w:val="32"/>
        </w:rPr>
        <w:t>深化金融改革创新，构建金融有效支持实体经济的体制机制，发展新兴金融市场，丰富金融产品和工具，推动科技金融、普惠金融和绿色金融等特色金融发展，提升金融科技水平，构建多元化融资格局，增强金融普惠性。建立实施要素差别化配置机制，引导资源要素向高效领域和优质企业聚集，全面提高全要素生产率</w:t>
      </w:r>
      <w:bookmarkStart w:id="356" w:name="_Toc6805"/>
      <w:r>
        <w:rPr>
          <w:rFonts w:hint="eastAsia" w:ascii="仿宋_GB2312" w:hAnsi="仿宋_GB2312" w:eastAsia="仿宋_GB2312" w:cs="仿宋_GB2312"/>
          <w:szCs w:val="32"/>
        </w:rPr>
        <w:t>。</w:t>
      </w:r>
      <w:bookmarkEnd w:id="356"/>
    </w:p>
    <w:p w14:paraId="03F39148">
      <w:pPr>
        <w:spacing w:line="600" w:lineRule="exact"/>
        <w:ind w:firstLine="643"/>
        <w:rPr>
          <w:rFonts w:ascii="Times New Roman" w:hAnsi="Times New Roman" w:eastAsia="仿宋_GB2312" w:cs="Times New Roman"/>
          <w:szCs w:val="32"/>
        </w:rPr>
      </w:pPr>
      <w:bookmarkStart w:id="357" w:name="_Toc13685"/>
      <w:bookmarkStart w:id="358" w:name="_Toc4795"/>
      <w:bookmarkStart w:id="359" w:name="_Toc5166"/>
      <w:bookmarkStart w:id="360" w:name="_Toc10011"/>
      <w:bookmarkStart w:id="361" w:name="_Toc31158"/>
      <w:bookmarkStart w:id="362" w:name="_Toc17401"/>
      <w:r>
        <w:rPr>
          <w:rStyle w:val="64"/>
          <w:rFonts w:hint="eastAsia" w:ascii="楷体_GB2312" w:hAnsi="楷体_GB2312" w:eastAsia="楷体_GB2312" w:cs="楷体_GB2312"/>
          <w:lang w:val="en-US"/>
        </w:rPr>
        <w:t>破除民营企业发展壁垒</w:t>
      </w:r>
      <w:bookmarkEnd w:id="357"/>
      <w:r>
        <w:rPr>
          <w:rStyle w:val="34"/>
          <w:rFonts w:hint="eastAsia" w:ascii="楷体_GB2312" w:hAnsi="楷体_GB2312" w:eastAsia="楷体_GB2312" w:cs="楷体_GB2312"/>
        </w:rPr>
        <w:t>。</w:t>
      </w:r>
      <w:r>
        <w:rPr>
          <w:rFonts w:hint="eastAsia" w:ascii="仿宋_GB2312" w:hAnsi="仿宋_GB2312" w:eastAsia="仿宋_GB2312" w:cs="仿宋_GB2312"/>
          <w:szCs w:val="32"/>
        </w:rPr>
        <w:t>清理废除过时以及制约市场主体发展的规定，降低市场准入门槛，全面实施市场准入负面清单制度，坚决破除不合理限制和壁垒。健全支持民营经济、外商投资企业发展的法治环境，营造各种所有制主体依法平等使用资源要素、公开公平公正参与竞争、同等受到法律保护的市场环境。支持民营企业改革创新，引导企业参与涉企政策制订，进一步激发活力和创造力。大力实施中小企业成长工程，建立健全扶持中小微企业的体制机制，落实国家和自治区支持中小企业政策，深入推进小微企业和成长型中小企业培育扶持计划，到2025年，全旗新增各类市场主体7900家。构建亲清政商关系的政策体系，畅通规范化机制化政企沟通渠道</w:t>
      </w:r>
      <w:bookmarkEnd w:id="354"/>
      <w:bookmarkEnd w:id="355"/>
      <w:bookmarkEnd w:id="358"/>
      <w:bookmarkEnd w:id="359"/>
      <w:bookmarkEnd w:id="360"/>
      <w:bookmarkEnd w:id="361"/>
      <w:bookmarkEnd w:id="362"/>
      <w:r>
        <w:rPr>
          <w:rFonts w:hint="eastAsia" w:ascii="仿宋_GB2312" w:hAnsi="仿宋_GB2312" w:eastAsia="仿宋_GB2312" w:cs="仿宋_GB2312"/>
          <w:szCs w:val="32"/>
        </w:rPr>
        <w:t>。</w:t>
      </w:r>
    </w:p>
    <w:p w14:paraId="1A43F39A">
      <w:pPr>
        <w:pStyle w:val="4"/>
        <w:spacing w:line="600" w:lineRule="exact"/>
        <w:rPr>
          <w:rFonts w:ascii="楷体_GB2312" w:hAnsi="楷体_GB2312" w:eastAsia="楷体_GB2312" w:cs="楷体_GB2312"/>
        </w:rPr>
      </w:pPr>
      <w:bookmarkStart w:id="363" w:name="_Toc63734485"/>
      <w:bookmarkStart w:id="364" w:name="_Toc21495"/>
      <w:r>
        <w:rPr>
          <w:rFonts w:hint="eastAsia" w:ascii="楷体_GB2312" w:hAnsi="楷体_GB2312" w:eastAsia="楷体_GB2312" w:cs="楷体_GB2312"/>
        </w:rPr>
        <w:t>第</w:t>
      </w:r>
      <w:r>
        <w:rPr>
          <w:rFonts w:hint="eastAsia" w:ascii="楷体_GB2312" w:hAnsi="楷体_GB2312" w:eastAsia="楷体_GB2312" w:cs="楷体_GB2312"/>
          <w:lang w:val="en-US"/>
        </w:rPr>
        <w:t>二</w:t>
      </w:r>
      <w:r>
        <w:rPr>
          <w:rFonts w:hint="eastAsia" w:ascii="楷体_GB2312" w:hAnsi="楷体_GB2312" w:eastAsia="楷体_GB2312" w:cs="楷体_GB2312"/>
        </w:rPr>
        <w:t xml:space="preserve">节 </w:t>
      </w:r>
      <w:bookmarkEnd w:id="329"/>
      <w:r>
        <w:rPr>
          <w:rFonts w:hint="eastAsia" w:ascii="楷体_GB2312" w:hAnsi="楷体_GB2312" w:eastAsia="楷体_GB2312" w:cs="楷体_GB2312"/>
        </w:rPr>
        <w:t>激发人才创新活力，建设高水平人才队伍</w:t>
      </w:r>
      <w:bookmarkEnd w:id="337"/>
      <w:bookmarkEnd w:id="338"/>
      <w:bookmarkEnd w:id="339"/>
      <w:bookmarkEnd w:id="340"/>
      <w:bookmarkEnd w:id="341"/>
      <w:bookmarkEnd w:id="363"/>
      <w:bookmarkEnd w:id="364"/>
    </w:p>
    <w:p w14:paraId="7EDDE991">
      <w:pPr>
        <w:spacing w:line="600" w:lineRule="exact"/>
        <w:ind w:firstLine="640"/>
        <w:rPr>
          <w:rFonts w:ascii="仿宋_GB2312" w:hAnsi="仿宋_GB2312" w:eastAsia="仿宋_GB2312" w:cs="仿宋_GB2312"/>
          <w:szCs w:val="32"/>
        </w:rPr>
      </w:pPr>
      <w:bookmarkStart w:id="365" w:name="_Toc26688"/>
      <w:bookmarkStart w:id="366" w:name="_Toc1127"/>
      <w:bookmarkStart w:id="367" w:name="_Toc115"/>
      <w:bookmarkStart w:id="368" w:name="_Toc30034"/>
      <w:bookmarkStart w:id="369" w:name="_Toc12337"/>
      <w:r>
        <w:rPr>
          <w:rFonts w:hint="eastAsia" w:ascii="仿宋_GB2312" w:hAnsi="仿宋_GB2312" w:eastAsia="仿宋_GB2312" w:cs="仿宋_GB2312"/>
          <w:szCs w:val="32"/>
        </w:rPr>
        <w:t>深入实施“人才强旗”战略，创新人才政策机制，深化人才发展体制机制改革，构建“一心多点”人才工作格局。完善科技和管理人才发现、培养、激励机制，构建多层次人才选拔培养体系，优化人才发展生态，加快形成具有竞争力的人才制度优势。落实“草原英才”工程、卓越人才教育培养计划，用好“达拉特英才”和各领域骨干人才，把人才培养作为国家和自治区科技重大专项、科技创新重大项目、重点科技研发计划、重点实验室建设的重要内容，实现人才、项目、基地、资金一体化部署。积极与自治区内外高校开展校地协作，面向未来，培养“订单式”科技创新和管理人才。创新人才引进机制，成立达拉特人力资源公司，精准规划人才引进范围及层次，大力引进我旗当前迫切需要的推动本地资源经济转型和高新技术产业发展的科技人才、推广本地特色影响力的创意人才、拉动投资的金融人才、适应消费方式转变的线上网络营销人才以及整合各类资源的人际资源型人才，充实我旗高层次人才和实用型人才队伍。</w:t>
      </w:r>
      <w:r>
        <w:rPr>
          <w:rFonts w:hint="eastAsia" w:ascii="仿宋_GB2312" w:hAnsi="仿宋_GB2312" w:eastAsia="仿宋_GB2312" w:cs="仿宋_GB2312"/>
          <w:szCs w:val="32"/>
          <w:lang w:val="en-US"/>
        </w:rPr>
        <w:t>扩大</w:t>
      </w:r>
      <w:r>
        <w:rPr>
          <w:rFonts w:hint="eastAsia" w:ascii="仿宋_GB2312" w:hAnsi="仿宋_GB2312" w:eastAsia="仿宋_GB2312" w:cs="仿宋_GB2312"/>
          <w:szCs w:val="32"/>
        </w:rPr>
        <w:t>远程专家队伍</w:t>
      </w:r>
      <w:r>
        <w:rPr>
          <w:rFonts w:ascii="仿宋_GB2312" w:hAnsi="仿宋_GB2312" w:eastAsia="仿宋_GB2312" w:cs="仿宋_GB2312"/>
          <w:szCs w:val="32"/>
        </w:rPr>
        <w:t>，</w:t>
      </w:r>
      <w:r>
        <w:rPr>
          <w:rFonts w:hint="eastAsia" w:ascii="仿宋_GB2312" w:hAnsi="仿宋_GB2312" w:eastAsia="仿宋_GB2312" w:cs="仿宋_GB2312"/>
          <w:szCs w:val="32"/>
        </w:rPr>
        <w:t>充实科技、金融、经济、法律、医疗卫生、教育等各</w:t>
      </w:r>
      <w:r>
        <w:rPr>
          <w:rFonts w:hint="eastAsia" w:ascii="仿宋_GB2312" w:hAnsi="仿宋_GB2312" w:eastAsia="仿宋_GB2312" w:cs="仿宋_GB2312"/>
          <w:szCs w:val="32"/>
          <w:lang w:val="en-US"/>
        </w:rPr>
        <w:t>领域人才</w:t>
      </w:r>
      <w:r>
        <w:rPr>
          <w:rFonts w:ascii="仿宋_GB2312" w:hAnsi="仿宋_GB2312" w:eastAsia="仿宋_GB2312" w:cs="仿宋_GB2312"/>
          <w:szCs w:val="32"/>
        </w:rPr>
        <w:t>，</w:t>
      </w:r>
      <w:r>
        <w:rPr>
          <w:rFonts w:hint="eastAsia" w:ascii="仿宋_GB2312" w:hAnsi="仿宋_GB2312" w:eastAsia="仿宋_GB2312" w:cs="仿宋_GB2312"/>
          <w:szCs w:val="32"/>
        </w:rPr>
        <w:t>试点推行“星期日工程师”模式</w:t>
      </w:r>
      <w:r>
        <w:rPr>
          <w:rFonts w:ascii="仿宋_GB2312" w:hAnsi="仿宋_GB2312" w:eastAsia="仿宋_GB2312" w:cs="仿宋_GB2312"/>
          <w:szCs w:val="32"/>
        </w:rPr>
        <w:t>，</w:t>
      </w:r>
      <w:r>
        <w:rPr>
          <w:rFonts w:hint="eastAsia" w:ascii="仿宋_GB2312" w:hAnsi="仿宋_GB2312" w:eastAsia="仿宋_GB2312" w:cs="仿宋_GB2312"/>
          <w:szCs w:val="32"/>
          <w:lang w:val="en-US"/>
        </w:rPr>
        <w:t>夯实高端人才储备</w:t>
      </w:r>
      <w:r>
        <w:rPr>
          <w:rFonts w:ascii="仿宋_GB2312" w:hAnsi="仿宋_GB2312" w:eastAsia="仿宋_GB2312" w:cs="仿宋_GB2312"/>
          <w:szCs w:val="32"/>
        </w:rPr>
        <w:t>。</w:t>
      </w:r>
      <w:r>
        <w:rPr>
          <w:rFonts w:hint="eastAsia" w:ascii="仿宋_GB2312" w:hAnsi="仿宋_GB2312" w:eastAsia="仿宋_GB2312" w:cs="仿宋_GB2312"/>
          <w:szCs w:val="32"/>
        </w:rPr>
        <w:t>深化职称制度改革，优化人才服务保障体系，切实落实招才引智的激励政策，解决人才住房、子女就业、薪酬待遇等问题，打造优良人才发展环境，为我旗发展补给新鲜血液。到2025年，全旗高层次人才和实用型人才队伍达到300人以上。</w:t>
      </w:r>
      <w:bookmarkEnd w:id="365"/>
      <w:bookmarkEnd w:id="366"/>
      <w:bookmarkEnd w:id="367"/>
      <w:bookmarkEnd w:id="368"/>
      <w:bookmarkEnd w:id="369"/>
    </w:p>
    <w:p w14:paraId="344181C8">
      <w:pPr>
        <w:pStyle w:val="4"/>
        <w:spacing w:line="600" w:lineRule="exact"/>
        <w:rPr>
          <w:rFonts w:ascii="Times New Roman" w:hAnsi="Times New Roman" w:cs="Times New Roman"/>
        </w:rPr>
      </w:pPr>
      <w:bookmarkStart w:id="370" w:name="_Toc12848"/>
      <w:bookmarkStart w:id="371" w:name="_Toc19150"/>
      <w:bookmarkStart w:id="372" w:name="_Toc89"/>
      <w:bookmarkStart w:id="373" w:name="_Toc22731"/>
      <w:bookmarkStart w:id="374" w:name="_Toc9917"/>
      <w:bookmarkStart w:id="375" w:name="_Toc1738633189"/>
      <w:bookmarkStart w:id="376" w:name="_Toc959"/>
      <w:r>
        <w:rPr>
          <w:rFonts w:hint="eastAsia" w:ascii="楷体_GB2312" w:hAnsi="楷体_GB2312" w:eastAsia="楷体_GB2312" w:cs="楷体_GB2312"/>
        </w:rPr>
        <w:t>第</w:t>
      </w:r>
      <w:r>
        <w:rPr>
          <w:rFonts w:hint="eastAsia" w:ascii="楷体_GB2312" w:hAnsi="楷体_GB2312" w:eastAsia="楷体_GB2312" w:cs="楷体_GB2312"/>
          <w:lang w:val="en-US"/>
        </w:rPr>
        <w:t>三</w:t>
      </w:r>
      <w:r>
        <w:rPr>
          <w:rFonts w:hint="eastAsia" w:ascii="楷体_GB2312" w:hAnsi="楷体_GB2312" w:eastAsia="楷体_GB2312" w:cs="楷体_GB2312"/>
        </w:rPr>
        <w:t xml:space="preserve">节 </w:t>
      </w:r>
      <w:r>
        <w:rPr>
          <w:rFonts w:hint="eastAsia" w:ascii="楷体_GB2312" w:hAnsi="楷体_GB2312" w:eastAsia="楷体_GB2312" w:cs="楷体_GB2312"/>
          <w:lang w:val="en-US"/>
        </w:rPr>
        <w:t>大力推进创新创业</w:t>
      </w:r>
      <w:r>
        <w:rPr>
          <w:rFonts w:hint="eastAsia" w:ascii="楷体_GB2312" w:hAnsi="楷体_GB2312" w:eastAsia="楷体_GB2312" w:cs="楷体_GB2312"/>
        </w:rPr>
        <w:t>，增强发展内生动力</w:t>
      </w:r>
      <w:bookmarkEnd w:id="370"/>
      <w:bookmarkEnd w:id="371"/>
      <w:bookmarkEnd w:id="372"/>
      <w:bookmarkEnd w:id="373"/>
      <w:bookmarkEnd w:id="374"/>
      <w:bookmarkEnd w:id="375"/>
      <w:bookmarkEnd w:id="376"/>
    </w:p>
    <w:p w14:paraId="33940A56">
      <w:pPr>
        <w:snapToGrid w:val="0"/>
        <w:spacing w:line="600" w:lineRule="exact"/>
        <w:ind w:firstLine="640"/>
        <w:rPr>
          <w:rFonts w:ascii="仿宋_GB2312" w:hAnsi="仿宋_GB2312" w:eastAsia="仿宋_GB2312" w:cs="仿宋_GB2312"/>
        </w:rPr>
      </w:pPr>
      <w:bookmarkStart w:id="377" w:name="_Toc1647492561"/>
      <w:bookmarkStart w:id="378" w:name="_Toc189949449"/>
      <w:bookmarkStart w:id="379" w:name="_Toc8531"/>
      <w:bookmarkStart w:id="380" w:name="_Toc31413"/>
      <w:bookmarkStart w:id="381" w:name="_Toc29328"/>
      <w:bookmarkStart w:id="382" w:name="_Toc26644"/>
      <w:bookmarkStart w:id="383" w:name="_Toc8775"/>
      <w:r>
        <w:rPr>
          <w:rFonts w:hint="eastAsia" w:ascii="仿宋_GB2312" w:hAnsi="仿宋_GB2312" w:eastAsia="仿宋_GB2312" w:cs="仿宋_GB2312"/>
        </w:rPr>
        <w:t>大力实施科技兴蒙行动，优化创新创业生态环境，围绕产业链部署创新链、围绕创新链完善产业链，积极争取国家和自治区科技攻关项目落地我旗，推进</w:t>
      </w:r>
      <w:r>
        <w:rPr>
          <w:rFonts w:hint="eastAsia" w:ascii="仿宋_GB2312" w:hAnsi="仿宋_GB2312" w:eastAsia="仿宋_GB2312" w:cs="仿宋_GB2312"/>
          <w:szCs w:val="32"/>
        </w:rPr>
        <w:t>“黄河几字弯”</w:t>
      </w:r>
      <w:r>
        <w:rPr>
          <w:rFonts w:hint="eastAsia" w:ascii="仿宋_GB2312" w:hAnsi="仿宋_GB2312" w:eastAsia="仿宋_GB2312" w:cs="仿宋_GB2312"/>
        </w:rPr>
        <w:t>协同创新高地建设。</w:t>
      </w:r>
      <w:bookmarkEnd w:id="377"/>
      <w:bookmarkEnd w:id="378"/>
    </w:p>
    <w:p w14:paraId="20AAEBA4">
      <w:pPr>
        <w:pStyle w:val="10"/>
        <w:spacing w:line="600" w:lineRule="exact"/>
        <w:ind w:left="0" w:firstLine="643"/>
        <w:rPr>
          <w:rFonts w:ascii="仿宋_GB2312" w:hAnsi="仿宋_GB2312" w:eastAsia="仿宋_GB2312" w:cs="仿宋_GB2312"/>
          <w:sz w:val="32"/>
          <w:szCs w:val="32"/>
        </w:rPr>
      </w:pPr>
      <w:r>
        <w:rPr>
          <w:rStyle w:val="34"/>
          <w:rFonts w:hint="eastAsia" w:ascii="楷体_GB2312" w:hAnsi="楷体_GB2312" w:eastAsia="楷体_GB2312" w:cs="楷体_GB2312"/>
          <w:lang w:val="en-US"/>
        </w:rPr>
        <w:t>突出企业主体地位</w:t>
      </w:r>
      <w:r>
        <w:rPr>
          <w:rStyle w:val="34"/>
          <w:rFonts w:hint="eastAsia" w:ascii="楷体_GB2312" w:hAnsi="楷体_GB2312" w:eastAsia="楷体_GB2312" w:cs="楷体_GB2312"/>
        </w:rPr>
        <w:t>。</w:t>
      </w:r>
      <w:r>
        <w:rPr>
          <w:rFonts w:hint="eastAsia" w:ascii="仿宋_GB2312" w:hAnsi="仿宋_GB2312" w:eastAsia="仿宋_GB2312" w:cs="仿宋_GB2312"/>
          <w:sz w:val="32"/>
          <w:szCs w:val="32"/>
        </w:rPr>
        <w:t>充分发挥企业在创新创业和科技成果转化中的主力军作用，面向企业需求，完善企业创新激励政策，优化资源配置，引导企业建立完善研发体系、加大研发投入、组建创新联合体，促进各类创新要素向企业集聚，提高科技创新核心竞争力。落实高新技术企业和科技型中小企业“双倍增”行动，推进产学研用深度融合，鼓励产业链上下游、大中小企业融通创新，支持默锐核级钠、亿利化学低汞聚氯乙烯催化剂、中轩食品发酵等项目联合区内外高校、科研院所展开联合技术攻关，加快冀东水泥、亿利洁能等高新技术企业研发中心项目建设，打造具有更强竞争力的创新型产业集群。推动企业孵化器、众创空间、星创天地等“双创”载体向专业化、精细化方向升级，提升完善达拉特科技资源服务中心功能，持续增强中小企业孵化能力，创建鄂尔多斯科技创新孵化推广基地。到2025年，培育创新型中小企业8家、星创天地和众创空间13家。</w:t>
      </w:r>
    </w:p>
    <w:p w14:paraId="64075359">
      <w:pPr>
        <w:spacing w:line="600" w:lineRule="exact"/>
        <w:ind w:firstLine="643"/>
        <w:rPr>
          <w:rFonts w:ascii="仿宋_GB2312" w:hAnsi="仿宋_GB2312" w:eastAsia="仿宋_GB2312" w:cs="仿宋_GB2312"/>
          <w:szCs w:val="32"/>
        </w:rPr>
      </w:pPr>
      <w:bookmarkStart w:id="384" w:name="_Toc18538"/>
      <w:bookmarkStart w:id="385" w:name="_Toc15719"/>
      <w:bookmarkStart w:id="386" w:name="_Toc9664"/>
      <w:bookmarkStart w:id="387" w:name="_Toc19899"/>
      <w:bookmarkStart w:id="388" w:name="_Toc12977"/>
      <w:r>
        <w:rPr>
          <w:rStyle w:val="34"/>
          <w:rFonts w:hint="eastAsia" w:ascii="楷体_GB2312" w:hAnsi="楷体_GB2312" w:eastAsia="楷体_GB2312" w:cs="楷体_GB2312"/>
          <w:lang w:val="en-US"/>
        </w:rPr>
        <w:t>全面推动产业创新</w:t>
      </w:r>
      <w:r>
        <w:rPr>
          <w:rStyle w:val="34"/>
          <w:rFonts w:hint="eastAsia" w:ascii="楷体_GB2312" w:hAnsi="楷体_GB2312" w:eastAsia="楷体_GB2312" w:cs="楷体_GB2312"/>
        </w:rPr>
        <w:t>。</w:t>
      </w:r>
      <w:r>
        <w:rPr>
          <w:rStyle w:val="34"/>
          <w:rFonts w:hint="eastAsia" w:ascii="仿宋_GB2312" w:hAnsi="楷体_GB2312" w:eastAsia="仿宋_GB2312" w:cs="楷体_GB2312"/>
        </w:rPr>
        <w:t>围绕</w:t>
      </w:r>
      <w:r>
        <w:rPr>
          <w:rFonts w:hint="eastAsia" w:ascii="仿宋_GB2312" w:hAnsi="仿宋_GB2312" w:eastAsia="仿宋_GB2312" w:cs="仿宋_GB2312"/>
          <w:b/>
          <w:szCs w:val="32"/>
        </w:rPr>
        <w:t>“</w:t>
      </w:r>
      <w:r>
        <w:rPr>
          <w:rFonts w:hint="eastAsia" w:ascii="仿宋_GB2312" w:hAnsi="仿宋_GB2312" w:eastAsia="仿宋_GB2312" w:cs="仿宋_GB2312"/>
          <w:szCs w:val="32"/>
        </w:rPr>
        <w:t>蓝色粮仓”、农作物育种等技术研发，加快推广金农利用微生物有机肥技术改良盐碱地集成示范技术，补齐农业科技短板；完善科技特派员制度，深入开展科技扶贫，培育农村牧区实用人才“领头雁”。聚焦污染防治攻坚，推动大气、水、土壤、化学品风险防控等领域科技创新和应用，推动东源水净化、新创再生资源循环利用、建能兴辉粉煤灰制发泡陶瓷等先进绿色技术转移转化，全力创建国家级绿色技术创新综合示范区。推动公共安全风险防控与应急技术装备应用与研发，促进信息等技术在综合应急、社会安全等领域深度应用，支撑平安中国建设。</w:t>
      </w:r>
      <w:bookmarkEnd w:id="384"/>
      <w:bookmarkEnd w:id="385"/>
      <w:bookmarkEnd w:id="386"/>
      <w:bookmarkEnd w:id="387"/>
      <w:bookmarkEnd w:id="388"/>
    </w:p>
    <w:p w14:paraId="634C034C">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全力引导创新活动</w:t>
      </w:r>
      <w:r>
        <w:rPr>
          <w:rStyle w:val="34"/>
          <w:rFonts w:hint="eastAsia" w:ascii="楷体_GB2312" w:hAnsi="楷体_GB2312" w:eastAsia="楷体_GB2312" w:cs="楷体_GB2312"/>
        </w:rPr>
        <w:t>。</w:t>
      </w:r>
      <w:r>
        <w:rPr>
          <w:rFonts w:hint="eastAsia" w:ascii="仿宋_GB2312" w:hAnsi="仿宋_GB2312" w:eastAsia="仿宋_GB2312" w:cs="仿宋_GB2312"/>
          <w:szCs w:val="32"/>
        </w:rPr>
        <w:t>加大普惠性财税政策支持力度，持续推进创新创业痛点堵点疏解行动，大力实施创新创业企业减税降费、降低社保费率等减负措施。加快完善科技型企业培育机制，落实高新技术企业培育认定补助和科技专项等扶持政策，持续壮大高新技术企业规模，打造高新技术产业集群。完善金融服务保障体系，鼓励</w:t>
      </w:r>
      <w:r>
        <w:rPr>
          <w:rFonts w:hint="eastAsia" w:ascii="仿宋_GB2312" w:hAnsi="仿宋_GB2312" w:eastAsia="仿宋_GB2312" w:cs="仿宋_GB2312"/>
        </w:rPr>
        <w:t>科技金融创新</w:t>
      </w:r>
      <w:r>
        <w:rPr>
          <w:rFonts w:hint="eastAsia" w:ascii="仿宋_GB2312" w:hAnsi="仿宋_GB2312" w:eastAsia="仿宋_GB2312" w:cs="仿宋_GB2312"/>
          <w:szCs w:val="32"/>
        </w:rPr>
        <w:t>，联合商业银行、担保机构，支持公共技术平台、人才引进与培训及公共基础设施建设，引导资金流向重点产业和企业。建立初创型科技企业早期经营风险补偿机制，为初创期科技企业提供创业风险保障。创新营销推广模式，</w:t>
      </w:r>
      <w:r>
        <w:rPr>
          <w:rFonts w:hint="eastAsia" w:ascii="仿宋_GB2312" w:hAnsi="仿宋_GB2312" w:eastAsia="仿宋_GB2312" w:cs="仿宋_GB2312"/>
        </w:rPr>
        <w:t>推动利用大数据、云计算、眼动数据等技术，了解国际、国内市场的客户需求及发展趋势，研发新型产品，强化市场营销策划，打通本地与外部市场的连接通道，拓展旗外消费市场，全面提高全民市场创收能力，提升本地造血功能。</w:t>
      </w:r>
    </w:p>
    <w:p w14:paraId="32A6C96E">
      <w:pPr>
        <w:pStyle w:val="4"/>
        <w:spacing w:line="600" w:lineRule="exact"/>
        <w:rPr>
          <w:rFonts w:ascii="楷体_GB2312" w:hAnsi="楷体_GB2312" w:eastAsia="楷体_GB2312" w:cs="楷体_GB2312"/>
        </w:rPr>
      </w:pPr>
      <w:bookmarkStart w:id="389" w:name="_Toc398022794"/>
      <w:bookmarkStart w:id="390" w:name="_Toc31181"/>
      <w:r>
        <w:rPr>
          <w:rFonts w:hint="eastAsia" w:ascii="楷体_GB2312" w:hAnsi="楷体_GB2312" w:eastAsia="楷体_GB2312" w:cs="楷体_GB2312"/>
        </w:rPr>
        <w:t>第</w:t>
      </w:r>
      <w:r>
        <w:rPr>
          <w:rFonts w:hint="eastAsia" w:ascii="楷体_GB2312" w:hAnsi="楷体_GB2312" w:eastAsia="楷体_GB2312" w:cs="楷体_GB2312"/>
          <w:lang w:val="en-US"/>
        </w:rPr>
        <w:t>四</w:t>
      </w:r>
      <w:r>
        <w:rPr>
          <w:rFonts w:hint="eastAsia" w:ascii="楷体_GB2312" w:hAnsi="楷体_GB2312" w:eastAsia="楷体_GB2312" w:cs="楷体_GB2312"/>
        </w:rPr>
        <w:t>节 加强知识产权保护，提升</w:t>
      </w:r>
      <w:r>
        <w:rPr>
          <w:rFonts w:hint="eastAsia" w:ascii="楷体_GB2312" w:hAnsi="楷体_GB2312" w:eastAsia="楷体_GB2312" w:cs="楷体_GB2312"/>
          <w:lang w:val="en-US"/>
        </w:rPr>
        <w:t>科技成果转化</w:t>
      </w:r>
      <w:bookmarkEnd w:id="379"/>
      <w:bookmarkEnd w:id="380"/>
      <w:bookmarkEnd w:id="381"/>
      <w:bookmarkEnd w:id="382"/>
      <w:bookmarkEnd w:id="383"/>
      <w:bookmarkEnd w:id="389"/>
      <w:r>
        <w:rPr>
          <w:rFonts w:hint="eastAsia" w:ascii="楷体_GB2312" w:hAnsi="楷体_GB2312" w:eastAsia="楷体_GB2312" w:cs="楷体_GB2312"/>
          <w:lang w:val="en-US"/>
        </w:rPr>
        <w:t>支撑</w:t>
      </w:r>
      <w:bookmarkEnd w:id="390"/>
    </w:p>
    <w:p w14:paraId="543C2B22">
      <w:pPr>
        <w:pStyle w:val="10"/>
        <w:spacing w:line="600" w:lineRule="exact"/>
        <w:ind w:left="0" w:firstLine="643"/>
        <w:rPr>
          <w:rFonts w:ascii="Times New Roman" w:hAnsi="Times New Roman" w:eastAsia="仿宋_GB2312" w:cs="Times New Roman"/>
          <w:sz w:val="32"/>
          <w:szCs w:val="32"/>
        </w:rPr>
      </w:pPr>
      <w:bookmarkStart w:id="391" w:name="_Toc29338"/>
      <w:bookmarkStart w:id="392" w:name="_Toc4839"/>
      <w:bookmarkStart w:id="393" w:name="_Toc31557"/>
      <w:bookmarkStart w:id="394" w:name="_Toc24176"/>
      <w:bookmarkStart w:id="395" w:name="_Toc10948"/>
      <w:r>
        <w:rPr>
          <w:rStyle w:val="34"/>
          <w:rFonts w:hint="eastAsia" w:ascii="楷体_GB2312" w:hAnsi="楷体_GB2312" w:eastAsia="楷体_GB2312" w:cs="楷体_GB2312"/>
          <w:lang w:val="en-US"/>
        </w:rPr>
        <w:t>加强</w:t>
      </w:r>
      <w:r>
        <w:rPr>
          <w:rStyle w:val="34"/>
          <w:rFonts w:hint="eastAsia" w:ascii="楷体_GB2312" w:hAnsi="楷体_GB2312" w:eastAsia="楷体_GB2312" w:cs="楷体_GB2312"/>
        </w:rPr>
        <w:t>知识产权</w:t>
      </w:r>
      <w:r>
        <w:rPr>
          <w:rStyle w:val="34"/>
          <w:rFonts w:hint="eastAsia" w:ascii="楷体_GB2312" w:hAnsi="楷体_GB2312" w:eastAsia="楷体_GB2312" w:cs="楷体_GB2312"/>
          <w:lang w:val="en-US"/>
        </w:rPr>
        <w:t>培育</w:t>
      </w:r>
      <w:r>
        <w:rPr>
          <w:rStyle w:val="34"/>
          <w:rFonts w:hint="eastAsia" w:ascii="楷体_GB2312" w:hAnsi="楷体_GB2312" w:eastAsia="楷体_GB2312" w:cs="楷体_GB2312"/>
        </w:rPr>
        <w:t>。</w:t>
      </w:r>
      <w:r>
        <w:rPr>
          <w:rFonts w:hint="eastAsia" w:ascii="仿宋_GB2312" w:hAnsi="仿宋_GB2312" w:eastAsia="仿宋_GB2312" w:cs="仿宋_GB2312"/>
          <w:sz w:val="32"/>
          <w:szCs w:val="32"/>
        </w:rPr>
        <w:t>深入实施高价值专利、企业自主知识产权、区域品牌、地方特色品牌和地理标志等培育工程，促进创新成果有效转化，形成新工艺、新材料、新产品，助推产业创新力、企业竞争力、品牌影响力提升，争取创建自治区知识产权示范城市、示范园区。强化知识产权发展扶持，推动知识产权服务产业发展，鼓励社会资本投资知识产权代理、法律、咨询、商用、信息、培训等行业，引导代理机构健全内部管理制度责任制度，提升服务质量。到2025年，全旗发明专利技术达到100件、实用新型技术达到1200件，每万人有效发明专利拥有量达到3件；依托标准认证技术，扩大“黄河几字湾”公共品牌综合影响力，打造一批具有地方特色的当地品牌，形成区块经济效应，全旗商标注册量年均增长率12.5</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培育驰名商标2件、地理标志2件，争取打造知识产权优势企业2家。</w:t>
      </w:r>
      <w:bookmarkEnd w:id="391"/>
      <w:bookmarkEnd w:id="392"/>
      <w:bookmarkEnd w:id="393"/>
      <w:bookmarkEnd w:id="394"/>
      <w:bookmarkEnd w:id="395"/>
    </w:p>
    <w:p w14:paraId="32BB6682">
      <w:pPr>
        <w:pStyle w:val="10"/>
        <w:spacing w:line="600" w:lineRule="exact"/>
        <w:ind w:left="0" w:firstLine="643"/>
        <w:rPr>
          <w:rFonts w:ascii="仿宋_GB2312" w:hAnsi="仿宋_GB2312" w:eastAsia="仿宋_GB2312" w:cs="仿宋_GB2312"/>
          <w:sz w:val="32"/>
          <w:szCs w:val="32"/>
          <w:highlight w:val="red"/>
        </w:rPr>
      </w:pPr>
      <w:r>
        <w:rPr>
          <w:rStyle w:val="34"/>
          <w:rFonts w:hint="eastAsia" w:ascii="楷体_GB2312" w:hAnsi="楷体_GB2312" w:eastAsia="楷体_GB2312" w:cs="楷体_GB2312"/>
          <w:lang w:val="en-US"/>
        </w:rPr>
        <w:t>促进科技成果转化</w:t>
      </w:r>
      <w:r>
        <w:rPr>
          <w:rStyle w:val="34"/>
          <w:rFonts w:hint="eastAsia" w:ascii="楷体_GB2312" w:hAnsi="楷体_GB2312" w:eastAsia="楷体_GB2312" w:cs="楷体_GB2312"/>
        </w:rPr>
        <w:t>。</w:t>
      </w:r>
      <w:r>
        <w:rPr>
          <w:rFonts w:hint="eastAsia" w:ascii="仿宋_GB2312" w:hAnsi="仿宋_GB2312" w:eastAsia="仿宋_GB2312" w:cs="仿宋_GB2312"/>
          <w:sz w:val="32"/>
          <w:szCs w:val="32"/>
        </w:rPr>
        <w:t>深化科技体制改革，完善科技专项运行机制，落实研发投入持续增长激励政策，大力推动新奥石墨烯、荣信高盐废水、中轩黄原胶多糖法等新技术延链扩能。充分发挥农牧业、能源、化工、冶金等产业和资源优势，积极引进先进技术，推动校企、院企联合科试验推广，合力推动科技成果转化。大力</w:t>
      </w:r>
      <w:r>
        <w:rPr>
          <w:rStyle w:val="34"/>
          <w:rFonts w:hint="eastAsia" w:ascii="仿宋_GB2312" w:hAnsi="仿宋_GB2312" w:eastAsia="仿宋_GB2312" w:cs="仿宋_GB2312"/>
          <w:szCs w:val="32"/>
          <w:lang w:val="en-US"/>
        </w:rPr>
        <w:t>支持科技成果转化服务平台建设</w:t>
      </w:r>
      <w:r>
        <w:rPr>
          <w:rFonts w:hint="eastAsia" w:ascii="仿宋_GB2312" w:hAnsi="仿宋_GB2312" w:eastAsia="仿宋_GB2312" w:cs="仿宋_GB2312"/>
          <w:sz w:val="32"/>
          <w:szCs w:val="32"/>
        </w:rPr>
        <w:t>，采取“政府引导，企业跟进”的方式，加快科技孵化与加速等科技服务业发展。强化科技成果转化配套服务体系建设，引导金融机构和各类基金对口支持，拓宽企业投融资渠道，全力构建高效开放的科技成果转化生态环境体系。充分利用京津冀、呼包鄂等发达地区优质集中的创新环境及闲置办公资源，探索开展异地合作及逆向园区建设模式，助力科技成果转换，带动技术创新发展，将我旗打造成为全市高科技成果转化基地。</w:t>
      </w:r>
      <w:bookmarkStart w:id="396" w:name="_Toc1640"/>
      <w:bookmarkStart w:id="397" w:name="_Toc2567"/>
      <w:bookmarkStart w:id="398" w:name="_Toc4750"/>
      <w:bookmarkStart w:id="399" w:name="_Toc14380"/>
      <w:bookmarkStart w:id="400" w:name="_Toc17692"/>
      <w:r>
        <w:rPr>
          <w:rFonts w:hint="eastAsia" w:ascii="仿宋_GB2312" w:hAnsi="仿宋_GB2312" w:eastAsia="仿宋_GB2312" w:cs="仿宋_GB2312"/>
          <w:sz w:val="32"/>
          <w:szCs w:val="32"/>
        </w:rPr>
        <w:t>开展知识产权军民融合试点，加强国防专利的保护和运用，提升军民科技协同创新能力建设，健全军民科技成果相互转化体系，推动科研平台共建共用，促进军民科技全要素、多领域、高效益深度融合发展，形成安全、高效的军民科技协同创新体系。</w:t>
      </w:r>
      <w:bookmarkEnd w:id="396"/>
      <w:bookmarkEnd w:id="397"/>
      <w:bookmarkEnd w:id="398"/>
      <w:bookmarkEnd w:id="399"/>
      <w:bookmarkEnd w:id="400"/>
      <w:bookmarkStart w:id="401" w:name="_bookmark46"/>
      <w:bookmarkEnd w:id="401"/>
      <w:bookmarkStart w:id="402" w:name="第七章_坚持生态优先理念，创造绿色发展样板"/>
      <w:bookmarkEnd w:id="402"/>
      <w:bookmarkStart w:id="403" w:name="_bookmark47"/>
      <w:bookmarkEnd w:id="403"/>
      <w:r>
        <w:rPr>
          <w:rFonts w:hint="eastAsia" w:ascii="仿宋_GB2312" w:hAnsi="仿宋_GB2312" w:eastAsia="仿宋_GB2312" w:cs="仿宋_GB2312"/>
          <w:sz w:val="32"/>
          <w:szCs w:val="32"/>
        </w:rPr>
        <w:t>到2025年，实现科技成果转化</w:t>
      </w:r>
      <w:r>
        <w:rPr>
          <w:rFonts w:hint="eastAsia" w:ascii="仿宋_GB2312" w:hAnsi="仿宋_GB2312" w:eastAsia="仿宋_GB2312" w:cs="仿宋_GB2312"/>
          <w:sz w:val="32"/>
          <w:szCs w:val="32"/>
          <w:lang w:val="en-US"/>
        </w:rPr>
        <w:t>600</w:t>
      </w:r>
      <w:r>
        <w:rPr>
          <w:rFonts w:hint="eastAsia" w:ascii="仿宋_GB2312" w:hAnsi="仿宋_GB2312" w:eastAsia="仿宋_GB2312" w:cs="仿宋_GB2312"/>
          <w:sz w:val="32"/>
          <w:szCs w:val="32"/>
        </w:rPr>
        <w:t>项以上。</w:t>
      </w:r>
    </w:p>
    <w:p w14:paraId="6B38B1E1">
      <w:pPr>
        <w:spacing w:line="600" w:lineRule="exact"/>
        <w:ind w:firstLine="643"/>
        <w:rPr>
          <w:rFonts w:ascii="仿宋_GB2312" w:hAnsi="仿宋_GB2312" w:eastAsia="仿宋_GB2312" w:cs="仿宋_GB2312"/>
          <w:szCs w:val="32"/>
          <w:highlight w:val="yellow"/>
        </w:rPr>
      </w:pPr>
      <w:bookmarkStart w:id="404" w:name="_Toc31491"/>
      <w:bookmarkStart w:id="405" w:name="_Toc30633"/>
      <w:bookmarkStart w:id="406" w:name="_Toc18392"/>
      <w:bookmarkStart w:id="407" w:name="_Toc26634"/>
      <w:bookmarkStart w:id="408" w:name="_Toc14153"/>
      <w:r>
        <w:rPr>
          <w:rStyle w:val="34"/>
          <w:rFonts w:hint="eastAsia" w:ascii="楷体_GB2312" w:hAnsi="楷体_GB2312" w:eastAsia="楷体_GB2312" w:cs="楷体_GB2312"/>
        </w:rPr>
        <w:t>强化知识产权保护</w:t>
      </w:r>
      <w:r>
        <w:rPr>
          <w:rStyle w:val="33"/>
          <w:rFonts w:hint="eastAsia" w:ascii="楷体_GB2312" w:hAnsi="楷体_GB2312" w:eastAsia="楷体_GB2312" w:cs="楷体_GB2312"/>
        </w:rPr>
        <w:t>。</w:t>
      </w:r>
      <w:r>
        <w:rPr>
          <w:rFonts w:hint="eastAsia" w:ascii="仿宋_GB2312" w:hAnsi="仿宋_GB2312" w:eastAsia="仿宋_GB2312" w:cs="仿宋_GB2312"/>
        </w:rPr>
        <w:t>建立全旗知识产权保护重点企业名录，加强企业应对知识产权纠纷的指导和帮助，提升企业知识产权自我保护能力。加强基层知识产权保护能力建设，聚焦知识产权侵权纠纷新特点、新趋势, 加大知识产权保护人才培训培养力度，推进执法装备和手段现代化、智能化，实现“智慧监管”。</w:t>
      </w:r>
      <w:r>
        <w:rPr>
          <w:rFonts w:hint="eastAsia" w:ascii="仿宋_GB2312" w:hAnsi="仿宋_GB2312" w:eastAsia="仿宋_GB2312" w:cs="仿宋_GB2312"/>
          <w:szCs w:val="32"/>
        </w:rPr>
        <w:t>加大侵权惩罚力度，围绕关键领域</w:t>
      </w:r>
      <w:r>
        <w:rPr>
          <w:rFonts w:hint="eastAsia" w:ascii="仿宋_GB2312" w:hAnsi="仿宋_GB2312" w:eastAsia="仿宋_GB2312" w:cs="仿宋_GB2312"/>
        </w:rPr>
        <w:t>、重点环节、重点群体，组织开展知识产权执法专项行动，严厉查处假冒专利、商标侵权等违法行为；持续开展知识产权代理行业专项整治，规范商标代理行为，加大对知识产权代理机构监管力度。加强失信联合惩戒，建立全旗知识产权严重失信主体名录向社会公布，推动相关信息在项目建设、招标投标、融资授信等领域应用。</w:t>
      </w:r>
      <w:bookmarkEnd w:id="404"/>
      <w:bookmarkEnd w:id="405"/>
      <w:bookmarkEnd w:id="406"/>
      <w:bookmarkEnd w:id="407"/>
      <w:bookmarkEnd w:id="408"/>
    </w:p>
    <w:p w14:paraId="2D19CF15">
      <w:pPr>
        <w:pStyle w:val="4"/>
        <w:spacing w:line="600" w:lineRule="exact"/>
        <w:rPr>
          <w:rFonts w:ascii="楷体_GB2312" w:hAnsi="楷体_GB2312" w:eastAsia="楷体_GB2312" w:cs="楷体_GB2312"/>
        </w:rPr>
      </w:pPr>
      <w:bookmarkStart w:id="409" w:name="_Toc392"/>
      <w:bookmarkStart w:id="410" w:name="_Toc9995"/>
      <w:bookmarkStart w:id="411" w:name="_Toc3851"/>
      <w:bookmarkStart w:id="412" w:name="_Toc157538353"/>
      <w:bookmarkStart w:id="413" w:name="_Toc6040"/>
      <w:bookmarkStart w:id="414" w:name="_Toc32528"/>
      <w:bookmarkStart w:id="415" w:name="_Toc31127"/>
      <w:bookmarkStart w:id="416" w:name="_Toc59098769"/>
      <w:r>
        <w:rPr>
          <w:rFonts w:hint="eastAsia" w:ascii="楷体_GB2312" w:hAnsi="楷体_GB2312" w:eastAsia="楷体_GB2312" w:cs="楷体_GB2312"/>
        </w:rPr>
        <w:t>第</w:t>
      </w:r>
      <w:r>
        <w:rPr>
          <w:rFonts w:hint="eastAsia" w:ascii="楷体_GB2312" w:hAnsi="楷体_GB2312" w:eastAsia="楷体_GB2312" w:cs="楷体_GB2312"/>
          <w:lang w:val="en-US"/>
        </w:rPr>
        <w:t>五</w:t>
      </w:r>
      <w:r>
        <w:rPr>
          <w:rFonts w:hint="eastAsia" w:ascii="楷体_GB2312" w:hAnsi="楷体_GB2312" w:eastAsia="楷体_GB2312" w:cs="楷体_GB2312"/>
        </w:rPr>
        <w:t>节 加强质量体系建设，全面塑造品牌达拉特</w:t>
      </w:r>
      <w:bookmarkEnd w:id="409"/>
      <w:bookmarkEnd w:id="410"/>
      <w:bookmarkEnd w:id="411"/>
      <w:bookmarkEnd w:id="412"/>
      <w:bookmarkEnd w:id="413"/>
      <w:bookmarkEnd w:id="414"/>
      <w:bookmarkEnd w:id="415"/>
    </w:p>
    <w:p w14:paraId="6526531C">
      <w:pPr>
        <w:spacing w:line="600" w:lineRule="exact"/>
        <w:ind w:firstLine="643"/>
      </w:pPr>
      <w:bookmarkStart w:id="417" w:name="_Toc23947"/>
      <w:bookmarkStart w:id="418" w:name="_Toc20723"/>
      <w:bookmarkStart w:id="419" w:name="_Toc25467"/>
      <w:bookmarkStart w:id="420" w:name="_Toc31464"/>
      <w:bookmarkStart w:id="421" w:name="_Toc997"/>
      <w:r>
        <w:rPr>
          <w:rStyle w:val="34"/>
          <w:rFonts w:hint="eastAsia" w:ascii="仿宋_GB2312" w:hAnsi="仿宋_GB2312" w:eastAsia="仿宋_GB2312" w:cs="仿宋_GB2312"/>
        </w:rPr>
        <w:t>树立“</w:t>
      </w:r>
      <w:r>
        <w:rPr>
          <w:rStyle w:val="34"/>
          <w:rFonts w:hint="eastAsia" w:ascii="仿宋_GB2312" w:hAnsi="仿宋_GB2312" w:eastAsia="仿宋_GB2312" w:cs="仿宋_GB2312"/>
          <w:lang w:val="en-US"/>
        </w:rPr>
        <w:t>大</w:t>
      </w:r>
      <w:r>
        <w:rPr>
          <w:rStyle w:val="34"/>
          <w:rFonts w:hint="eastAsia" w:ascii="仿宋_GB2312" w:hAnsi="仿宋_GB2312" w:eastAsia="仿宋_GB2312" w:cs="仿宋_GB2312"/>
        </w:rPr>
        <w:t>标准”意识，推进实施质量强旗战略，</w:t>
      </w:r>
      <w:r>
        <w:rPr>
          <w:rFonts w:hint="eastAsia" w:ascii="仿宋_GB2312" w:hAnsi="仿宋_GB2312" w:eastAsia="仿宋_GB2312" w:cs="仿宋_GB2312"/>
          <w:szCs w:val="32"/>
        </w:rPr>
        <w:t>全面开展质量提升行动。加强质量教育培训和舆论宣传，大力倡导精益求精的工匠精神，全面加强质量管理，推动形成体现时代特征、地区特色、行业特点的城乡质量精神和企业质量文化，实现经济社会质量型创新发展。</w:t>
      </w:r>
      <w:bookmarkEnd w:id="417"/>
      <w:bookmarkEnd w:id="418"/>
      <w:bookmarkEnd w:id="419"/>
      <w:bookmarkEnd w:id="420"/>
      <w:bookmarkEnd w:id="421"/>
      <w:r>
        <w:rPr>
          <w:rFonts w:hint="eastAsia" w:ascii="仿宋_GB2312" w:hAnsi="仿宋_GB2312" w:eastAsia="仿宋_GB2312" w:cs="仿宋_GB2312"/>
          <w:szCs w:val="32"/>
        </w:rPr>
        <w:t>提升产品和服务质量，鼓励企业加大质量科技投入和科技成果转化应用力度，发展制定本地玉米、蔬菜、水稻、杂粮等特色农畜产品和有机化工、特种冶金、绿色建材等优势工业产品质量行业标准体系，依托标准创建、标准应用，引导企业重视产品质量，提升产品质量，依靠质量创造市场竞争力，走质量品牌发展之路，加快建立以企业为主体、市场为导向、产学研相结合的质量创新体系。到2025年，全旗主要农畜产品和重点食品质量安全监测合格率稳定在98%以上，食品、保健食品等产品质量安全监测合格率稳定在91%以上，药品、化妆品、医疗器械等产品抽检合格率稳定在90%以上。支持知识产权服务行业组织加强行业自律，推广行业标准，组织开展服务质量承诺和评估工作，积极申请国家标准化试点。推进“百城千业万企对标达标提升专项行动”，引导企业参与对标达标提升行动，参与企业数年均增长5%以上，优标（蓝标）率达到95%以上。</w:t>
      </w:r>
      <w:bookmarkEnd w:id="416"/>
      <w:r>
        <w:rPr>
          <w:rFonts w:hint="eastAsia" w:ascii="仿宋_GB2312" w:hAnsi="仿宋_GB2312" w:eastAsia="仿宋_GB2312" w:cs="仿宋_GB2312"/>
          <w:szCs w:val="32"/>
          <w:lang w:val="en-US"/>
        </w:rPr>
        <w:t>推进行政管理标准化</w:t>
      </w:r>
      <w:r>
        <w:rPr>
          <w:rFonts w:hint="eastAsia" w:ascii="仿宋_GB2312" w:hAnsi="仿宋_GB2312" w:eastAsia="仿宋_GB2312" w:cs="仿宋_GB2312"/>
          <w:szCs w:val="32"/>
        </w:rPr>
        <w:t>，建立完善</w:t>
      </w:r>
      <w:r>
        <w:rPr>
          <w:rFonts w:hint="eastAsia" w:ascii="仿宋_GB2312" w:hAnsi="仿宋_GB2312" w:eastAsia="仿宋_GB2312" w:cs="仿宋_GB2312"/>
          <w:szCs w:val="32"/>
          <w:lang w:val="en-US"/>
        </w:rPr>
        <w:t>行政许可操作规程、规范等地方标准</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群众对</w:t>
      </w:r>
      <w:r>
        <w:rPr>
          <w:rFonts w:hint="eastAsia" w:ascii="仿宋_GB2312" w:hAnsi="仿宋_GB2312" w:eastAsia="仿宋_GB2312" w:cs="仿宋_GB2312"/>
          <w:szCs w:val="32"/>
        </w:rPr>
        <w:t>政府的满意度达到90%以上。</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024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cantSplit/>
          <w:trHeight w:val="472" w:hRule="atLeast"/>
        </w:trPr>
        <w:tc>
          <w:tcPr>
            <w:tcW w:w="9064" w:type="dxa"/>
            <w:shd w:val="clear" w:color="auto" w:fill="D8D8D8" w:themeFill="background1" w:themeFillShade="D9"/>
            <w:vAlign w:val="center"/>
          </w:tcPr>
          <w:p w14:paraId="56021C8D">
            <w:pPr>
              <w:keepNext/>
              <w:keepLines/>
              <w:spacing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专栏7：“黄河几字</w:t>
            </w:r>
            <w:r>
              <w:rPr>
                <w:rFonts w:hint="eastAsia" w:ascii="Times New Roman" w:hAnsi="Times New Roman" w:eastAsia="仿宋_GB2312" w:cs="Times New Roman"/>
                <w:b/>
                <w:bCs/>
                <w:sz w:val="28"/>
                <w:szCs w:val="28"/>
              </w:rPr>
              <w:t>弯</w:t>
            </w:r>
            <w:r>
              <w:rPr>
                <w:rFonts w:ascii="Times New Roman" w:hAnsi="Times New Roman" w:eastAsia="仿宋_GB2312" w:cs="Times New Roman"/>
                <w:b/>
                <w:bCs/>
                <w:sz w:val="28"/>
                <w:szCs w:val="28"/>
              </w:rPr>
              <w:t>”协同创新高地</w:t>
            </w:r>
          </w:p>
        </w:tc>
      </w:tr>
      <w:tr w14:paraId="1D8F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9064" w:type="dxa"/>
            <w:shd w:val="clear" w:color="auto" w:fill="FDEADA" w:themeFill="accent6" w:themeFillShade="D9" w:themeFillTint="32"/>
            <w:vAlign w:val="center"/>
          </w:tcPr>
          <w:p w14:paraId="0AD68D68">
            <w:pPr>
              <w:keepNext/>
              <w:keepLines/>
              <w:adjustRightInd w:val="0"/>
              <w:snapToGrid w:val="0"/>
              <w:spacing w:line="240" w:lineRule="auto"/>
              <w:ind w:firstLine="0" w:firstLineChars="0"/>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重大战略</w:t>
            </w:r>
          </w:p>
        </w:tc>
      </w:tr>
      <w:tr w14:paraId="4E25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8" w:hRule="atLeast"/>
        </w:trPr>
        <w:tc>
          <w:tcPr>
            <w:tcW w:w="9064" w:type="dxa"/>
            <w:shd w:val="clear" w:color="auto" w:fill="D8D8D8" w:themeFill="background1" w:themeFillShade="D9"/>
          </w:tcPr>
          <w:p w14:paraId="7858B623">
            <w:pPr>
              <w:keepNext/>
              <w:keepLines/>
              <w:adjustRightInd w:val="0"/>
              <w:snapToGrid w:val="0"/>
              <w:spacing w:line="360" w:lineRule="auto"/>
              <w:ind w:firstLine="360" w:firstLineChars="150"/>
              <w:rPr>
                <w:rFonts w:ascii="仿宋_GB2312" w:hAnsi="Times New Roman" w:eastAsia="仿宋_GB2312" w:cs="Times New Roman"/>
                <w:sz w:val="24"/>
                <w:szCs w:val="24"/>
              </w:rPr>
            </w:pPr>
            <w:r>
              <w:rPr>
                <w:rFonts w:hint="eastAsia" w:ascii="仿宋_GB2312" w:hAnsi="仿宋" w:eastAsia="仿宋_GB2312" w:cs="Times New Roman"/>
                <w:sz w:val="24"/>
                <w:szCs w:val="24"/>
              </w:rPr>
              <w:t xml:space="preserve">◆ </w:t>
            </w:r>
            <w:r>
              <w:rPr>
                <w:rFonts w:hint="eastAsia" w:ascii="仿宋_GB2312" w:hAnsi="仿宋" w:eastAsia="仿宋_GB2312" w:cs="Times New Roman"/>
                <w:b/>
                <w:bCs/>
                <w:sz w:val="24"/>
                <w:szCs w:val="24"/>
              </w:rPr>
              <w:t>品牌强旗战略。</w:t>
            </w:r>
            <w:r>
              <w:rPr>
                <w:rFonts w:hint="eastAsia" w:ascii="仿宋_GB2312" w:hAnsi="Times New Roman" w:eastAsia="仿宋_GB2312" w:cs="Times New Roman"/>
                <w:sz w:val="24"/>
                <w:szCs w:val="24"/>
              </w:rPr>
              <w:t>高价值专利、企业自主知识产权、区域品牌、地方特色品牌和地理标志等培育工程。</w:t>
            </w:r>
          </w:p>
          <w:p w14:paraId="24F84A26">
            <w:pPr>
              <w:keepNext/>
              <w:keepLines/>
              <w:adjustRightInd w:val="0"/>
              <w:snapToGrid w:val="0"/>
              <w:spacing w:line="360" w:lineRule="auto"/>
              <w:ind w:firstLine="360" w:firstLineChars="150"/>
              <w:rPr>
                <w:rFonts w:ascii="仿宋_GB2312" w:hAnsi="Times New Roman" w:eastAsia="仿宋_GB2312" w:cs="Times New Roman"/>
                <w:sz w:val="24"/>
                <w:szCs w:val="24"/>
              </w:rPr>
            </w:pPr>
            <w:r>
              <w:rPr>
                <w:rFonts w:hint="eastAsia" w:ascii="仿宋_GB2312" w:hAnsi="仿宋" w:eastAsia="仿宋_GB2312" w:cs="Times New Roman"/>
                <w:sz w:val="24"/>
                <w:szCs w:val="24"/>
              </w:rPr>
              <w:t xml:space="preserve">◆ </w:t>
            </w:r>
            <w:r>
              <w:rPr>
                <w:rFonts w:hint="eastAsia" w:ascii="仿宋_GB2312" w:hAnsi="仿宋" w:eastAsia="仿宋_GB2312" w:cs="Times New Roman"/>
                <w:b/>
                <w:bCs/>
                <w:sz w:val="24"/>
                <w:szCs w:val="24"/>
              </w:rPr>
              <w:t>质量强旗战略。</w:t>
            </w:r>
            <w:r>
              <w:rPr>
                <w:rFonts w:hint="eastAsia" w:ascii="仿宋_GB2312" w:hAnsi="Times New Roman" w:eastAsia="仿宋_GB2312" w:cs="Times New Roman"/>
                <w:sz w:val="24"/>
                <w:szCs w:val="24"/>
              </w:rPr>
              <w:t>制定本地玉米、蔬菜、水稻、杂粮等特色农畜产品和有机化工、特种冶金、绿色建材等优势工业产品质量行业标准体系。</w:t>
            </w:r>
          </w:p>
          <w:p w14:paraId="039CC59B">
            <w:pPr>
              <w:keepNext/>
              <w:keepLines/>
              <w:adjustRightInd w:val="0"/>
              <w:snapToGrid w:val="0"/>
              <w:spacing w:line="360" w:lineRule="auto"/>
              <w:ind w:firstLine="360" w:firstLineChars="150"/>
              <w:rPr>
                <w:rFonts w:ascii="Times New Roman" w:hAnsi="Times New Roman" w:cs="Times New Roman"/>
                <w:sz w:val="24"/>
                <w:szCs w:val="24"/>
              </w:rPr>
            </w:pPr>
            <w:r>
              <w:rPr>
                <w:rFonts w:hint="eastAsia" w:ascii="仿宋_GB2312" w:hAnsi="仿宋" w:eastAsia="仿宋_GB2312" w:cs="Times New Roman"/>
                <w:sz w:val="24"/>
                <w:szCs w:val="24"/>
              </w:rPr>
              <w:t xml:space="preserve">◆ </w:t>
            </w:r>
            <w:r>
              <w:rPr>
                <w:rFonts w:hint="eastAsia" w:ascii="仿宋_GB2312" w:hAnsi="仿宋" w:eastAsia="仿宋_GB2312" w:cs="Times New Roman"/>
                <w:b/>
                <w:bCs/>
                <w:sz w:val="24"/>
                <w:szCs w:val="24"/>
              </w:rPr>
              <w:t>人才强旗战略。</w:t>
            </w:r>
            <w:r>
              <w:rPr>
                <w:rFonts w:hint="eastAsia" w:ascii="仿宋_GB2312" w:hAnsi="Times New Roman" w:eastAsia="仿宋_GB2312" w:cs="Times New Roman"/>
                <w:sz w:val="24"/>
                <w:szCs w:val="24"/>
              </w:rPr>
              <w:t>校地协作，实施本地科技创新和管理人才“订单式”培育工程；利用各级各类专业技术人才、经营管理人才星期天或节假日等业余时间，实施“星期日工程师”人才引进工程。</w:t>
            </w:r>
          </w:p>
        </w:tc>
      </w:tr>
      <w:tr w14:paraId="277F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cantSplit/>
          <w:trHeight w:val="386" w:hRule="atLeast"/>
        </w:trPr>
        <w:tc>
          <w:tcPr>
            <w:tcW w:w="9064" w:type="dxa"/>
            <w:shd w:val="clear" w:color="auto" w:fill="FDEADA" w:themeFill="accent6" w:themeFillShade="D9" w:themeFillTint="32"/>
            <w:vAlign w:val="center"/>
          </w:tcPr>
          <w:p w14:paraId="758C8F8E">
            <w:pPr>
              <w:spacing w:line="240" w:lineRule="auto"/>
              <w:ind w:firstLine="3654" w:firstLineChars="1300"/>
              <w:rPr>
                <w:rFonts w:ascii="Times New Roman" w:hAnsi="Times New Roman" w:eastAsia="仿宋_GB2312" w:cs="Times New Roman"/>
                <w:sz w:val="28"/>
                <w:szCs w:val="28"/>
              </w:rPr>
            </w:pPr>
            <w:r>
              <w:rPr>
                <w:rFonts w:ascii="Times New Roman" w:hAnsi="Times New Roman" w:eastAsia="仿宋_GB2312" w:cs="Times New Roman"/>
                <w:b/>
                <w:bCs/>
                <w:sz w:val="28"/>
                <w:szCs w:val="28"/>
              </w:rPr>
              <w:t>重大工程</w:t>
            </w:r>
          </w:p>
        </w:tc>
      </w:tr>
      <w:tr w14:paraId="2D21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4" w:type="dxa"/>
            <w:shd w:val="clear" w:color="auto" w:fill="D8D8D8" w:themeFill="background1" w:themeFillShade="D9"/>
          </w:tcPr>
          <w:p w14:paraId="40F84CD8">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 自治区营商环境典范旗</w:t>
            </w:r>
          </w:p>
          <w:p w14:paraId="04B5B5A0">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 国家级绿色技术创新综合示范区</w:t>
            </w:r>
          </w:p>
          <w:p w14:paraId="08586D28">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 自治区知识产权示范城市、示范园区</w:t>
            </w:r>
          </w:p>
          <w:p w14:paraId="2F75C7B2">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 鄂尔多斯科技创新孵化推广基地</w:t>
            </w:r>
          </w:p>
          <w:p w14:paraId="6199E88A">
            <w:pPr>
              <w:spacing w:line="360" w:lineRule="auto"/>
              <w:ind w:firstLine="360" w:firstLineChars="150"/>
              <w:rPr>
                <w:rFonts w:ascii="Times New Roman" w:hAnsi="Times New Roman" w:cs="Times New Roman"/>
                <w:sz w:val="24"/>
                <w:szCs w:val="24"/>
              </w:rPr>
            </w:pPr>
            <w:r>
              <w:rPr>
                <w:rFonts w:hint="eastAsia" w:ascii="仿宋_GB2312" w:hAnsi="Times New Roman" w:eastAsia="仿宋_GB2312" w:cs="Times New Roman"/>
                <w:sz w:val="24"/>
                <w:szCs w:val="24"/>
              </w:rPr>
              <w:t>◆ 全市高科技成果转化基地</w:t>
            </w:r>
          </w:p>
        </w:tc>
      </w:tr>
    </w:tbl>
    <w:p w14:paraId="039A94FC">
      <w:pPr>
        <w:pStyle w:val="3"/>
        <w:spacing w:line="600" w:lineRule="exact"/>
        <w:rPr>
          <w:rFonts w:ascii="黑体" w:hAnsi="黑体" w:cs="黑体"/>
          <w:bCs w:val="0"/>
          <w:szCs w:val="32"/>
          <w:shd w:val="clear" w:color="auto" w:fill="FFFFFF"/>
          <w:lang w:val="en-US"/>
        </w:rPr>
      </w:pPr>
      <w:bookmarkStart w:id="422" w:name="_Toc15867"/>
      <w:bookmarkStart w:id="423" w:name="_Toc28304"/>
      <w:bookmarkStart w:id="424" w:name="_Toc13335"/>
      <w:bookmarkStart w:id="425" w:name="_Toc12723"/>
      <w:bookmarkStart w:id="426" w:name="_Toc2690"/>
      <w:bookmarkStart w:id="427" w:name="_Toc2047245767"/>
      <w:bookmarkStart w:id="428" w:name="_Toc20373"/>
      <w:bookmarkStart w:id="429" w:name="_Toc59098774"/>
      <w:r>
        <w:rPr>
          <w:rFonts w:hint="eastAsia" w:ascii="黑体" w:hAnsi="黑体" w:cs="黑体"/>
          <w:bCs w:val="0"/>
          <w:szCs w:val="32"/>
          <w:shd w:val="clear" w:color="auto" w:fill="FFFFFF"/>
          <w:lang w:val="en-US"/>
        </w:rPr>
        <w:t>第六章 全面融入双循环体系，构建高水平开放新</w:t>
      </w:r>
      <w:bookmarkStart w:id="430" w:name="_Toc59098787"/>
      <w:r>
        <w:rPr>
          <w:rFonts w:hint="eastAsia" w:ascii="黑体" w:hAnsi="黑体" w:cs="黑体"/>
          <w:bCs w:val="0"/>
          <w:szCs w:val="32"/>
          <w:shd w:val="clear" w:color="auto" w:fill="FFFFFF"/>
          <w:lang w:val="en-US"/>
        </w:rPr>
        <w:t>格局</w:t>
      </w:r>
      <w:bookmarkEnd w:id="422"/>
      <w:bookmarkEnd w:id="423"/>
      <w:bookmarkEnd w:id="424"/>
      <w:bookmarkEnd w:id="425"/>
      <w:bookmarkEnd w:id="426"/>
      <w:bookmarkEnd w:id="427"/>
      <w:bookmarkEnd w:id="428"/>
    </w:p>
    <w:p w14:paraId="01C365F7">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着眼我旗区位交通和市场规模优势、工业化和城镇化后发优势、资源和产业基础优势，紧紧扭住国家扩大内需战略基点，积极融入以国内大循环为主体、国内国际双循环相互促进的新发展格局，深化供给侧结构性改革，增强产业链供应链韧性和竞争力，打通阻碍经济循环的瘀点堵点，系统增强我旗经济发展源动力。</w:t>
      </w:r>
    </w:p>
    <w:p w14:paraId="12F47A52">
      <w:pPr>
        <w:pStyle w:val="4"/>
        <w:spacing w:line="600" w:lineRule="exact"/>
        <w:rPr>
          <w:rFonts w:ascii="Times New Roman" w:hAnsi="Times New Roman" w:cs="Times New Roman"/>
        </w:rPr>
      </w:pPr>
      <w:bookmarkStart w:id="431" w:name="_Toc1076613735"/>
      <w:bookmarkStart w:id="432" w:name="_Toc17772"/>
      <w:bookmarkStart w:id="433" w:name="_Toc19703"/>
      <w:bookmarkStart w:id="434" w:name="_Toc1217"/>
      <w:bookmarkStart w:id="435" w:name="_Toc25292"/>
      <w:bookmarkStart w:id="436" w:name="_Toc20901"/>
      <w:bookmarkStart w:id="437" w:name="_Toc30004"/>
      <w:r>
        <w:rPr>
          <w:rFonts w:hint="eastAsia" w:ascii="楷体_GB2312" w:hAnsi="楷体_GB2312" w:eastAsia="楷体_GB2312" w:cs="楷体_GB2312"/>
        </w:rPr>
        <w:t>第一节 扩大优质消费供给，激发内循环市场潜力</w:t>
      </w:r>
      <w:bookmarkEnd w:id="430"/>
      <w:bookmarkEnd w:id="431"/>
      <w:bookmarkEnd w:id="432"/>
      <w:bookmarkEnd w:id="433"/>
      <w:bookmarkEnd w:id="434"/>
      <w:bookmarkEnd w:id="435"/>
      <w:bookmarkEnd w:id="436"/>
      <w:bookmarkEnd w:id="437"/>
    </w:p>
    <w:p w14:paraId="525992FE">
      <w:pPr>
        <w:spacing w:line="600" w:lineRule="exact"/>
        <w:ind w:firstLine="640"/>
        <w:rPr>
          <w:rFonts w:ascii="Times New Roman" w:hAnsi="Times New Roman" w:eastAsia="仿宋_GB2312" w:cs="Times New Roman"/>
          <w:szCs w:val="32"/>
        </w:rPr>
      </w:pPr>
      <w:bookmarkStart w:id="438" w:name="_Toc29597"/>
      <w:bookmarkStart w:id="439" w:name="_Toc232"/>
      <w:bookmarkStart w:id="440" w:name="_Toc11011"/>
      <w:bookmarkStart w:id="441" w:name="_Toc27105"/>
      <w:bookmarkStart w:id="442" w:name="_Toc18"/>
      <w:r>
        <w:rPr>
          <w:rFonts w:ascii="Times New Roman" w:hAnsi="Times New Roman" w:eastAsia="仿宋_GB2312" w:cs="Times New Roman"/>
          <w:szCs w:val="32"/>
        </w:rPr>
        <w:t>把扩大消费同改善人民生活品质结合起来，从供给和需求两侧集中发力，增强消费能力、畅通消费渠道、提高消费品质，充分挖掘消费潜力。</w:t>
      </w:r>
      <w:bookmarkEnd w:id="438"/>
      <w:bookmarkEnd w:id="439"/>
      <w:bookmarkEnd w:id="440"/>
      <w:bookmarkEnd w:id="441"/>
      <w:bookmarkEnd w:id="442"/>
    </w:p>
    <w:p w14:paraId="44D87728">
      <w:pPr>
        <w:spacing w:line="600" w:lineRule="exact"/>
        <w:ind w:firstLine="643"/>
        <w:rPr>
          <w:rFonts w:ascii="仿宋_GB2312" w:hAnsi="仿宋_GB2312" w:eastAsia="仿宋_GB2312" w:cs="仿宋_GB2312"/>
          <w:szCs w:val="32"/>
        </w:rPr>
      </w:pPr>
      <w:bookmarkStart w:id="443" w:name="_Toc15225"/>
      <w:bookmarkStart w:id="444" w:name="_Toc11031"/>
      <w:bookmarkStart w:id="445" w:name="_Toc25583"/>
      <w:bookmarkStart w:id="446" w:name="_Toc26229"/>
      <w:bookmarkStart w:id="447" w:name="_Toc1098"/>
      <w:r>
        <w:rPr>
          <w:rStyle w:val="34"/>
          <w:rFonts w:hint="eastAsia" w:ascii="楷体_GB2312" w:hAnsi="楷体_GB2312" w:eastAsia="楷体_GB2312" w:cs="楷体_GB2312"/>
        </w:rPr>
        <w:t>推动传统领域消费升级</w:t>
      </w:r>
      <w:r>
        <w:rPr>
          <w:rFonts w:hint="eastAsia" w:ascii="楷体_GB2312" w:hAnsi="楷体_GB2312" w:eastAsia="楷体_GB2312" w:cs="楷体_GB2312"/>
          <w:b/>
          <w:bCs/>
        </w:rPr>
        <w:t>。</w:t>
      </w:r>
      <w:r>
        <w:rPr>
          <w:rFonts w:hint="eastAsia" w:ascii="仿宋_GB2312" w:hAnsi="仿宋_GB2312" w:eastAsia="仿宋_GB2312" w:cs="仿宋_GB2312"/>
          <w:szCs w:val="32"/>
        </w:rPr>
        <w:t>促进住房消费健康发展，适度扩大中心城区商品房供给，统筹推进老旧小区改造，支持住房租赁市场专业化发展，满足居民住房改善需求。鼓励汽车消费升级，推广新能源汽车，完善充电桩规划布局，落实好各项新能源汽车补贴政策和基础设施建设奖补政策，深度挖掘二手车交易等汽车后市场潜力。增加优质消费品供给，引导实体零售企业丰富优化商品品类，加快发展电子商务，增加中高端商品供给，满足居民消费升级需求。推动农畜产品批发市场、超市、农贸市场、社区蔬菜店等在农村牧区建立生产基地，开展生鲜农畜产品“基地+社区直供”业务，满足居民绿色农畜产品消费需求。</w:t>
      </w:r>
      <w:bookmarkEnd w:id="443"/>
      <w:bookmarkEnd w:id="444"/>
      <w:bookmarkEnd w:id="445"/>
      <w:bookmarkEnd w:id="446"/>
      <w:bookmarkEnd w:id="447"/>
    </w:p>
    <w:p w14:paraId="16AFA3DB">
      <w:pPr>
        <w:spacing w:line="600" w:lineRule="exact"/>
        <w:ind w:firstLine="643"/>
        <w:rPr>
          <w:rFonts w:ascii="仿宋_GB2312" w:hAnsi="仿宋_GB2312" w:eastAsia="仿宋_GB2312" w:cs="仿宋_GB2312"/>
          <w:szCs w:val="32"/>
        </w:rPr>
      </w:pPr>
      <w:bookmarkStart w:id="448" w:name="_Toc11717"/>
      <w:bookmarkStart w:id="449" w:name="_Toc25953"/>
      <w:bookmarkStart w:id="450" w:name="_Toc5371"/>
      <w:bookmarkStart w:id="451" w:name="_Toc1363"/>
      <w:bookmarkStart w:id="452" w:name="_Toc15279"/>
      <w:r>
        <w:rPr>
          <w:rStyle w:val="34"/>
          <w:rFonts w:hint="eastAsia" w:ascii="楷体_GB2312" w:hAnsi="楷体_GB2312" w:eastAsia="楷体_GB2312" w:cs="楷体_GB2312"/>
        </w:rPr>
        <w:t>加快释放新兴消费潜力</w:t>
      </w:r>
      <w:r>
        <w:rPr>
          <w:rFonts w:hint="eastAsia" w:ascii="楷体_GB2312" w:hAnsi="楷体_GB2312" w:eastAsia="楷体_GB2312" w:cs="楷体_GB2312"/>
          <w:b/>
          <w:bCs/>
        </w:rPr>
        <w:t>。</w:t>
      </w:r>
      <w:r>
        <w:rPr>
          <w:rFonts w:hint="eastAsia" w:ascii="仿宋_GB2312" w:hAnsi="仿宋_GB2312" w:eastAsia="仿宋_GB2312" w:cs="仿宋_GB2312"/>
          <w:szCs w:val="32"/>
        </w:rPr>
        <w:t>进一步完善政策措施,深化户籍制度、建设用地制度等改革,提高就业保障，扩大社保体系覆盖面,畅通低收入群体向中等收入群体的转化渠道，壮大中等收入群体，形成有收入、敢消费的良性循环。聚焦零售热、餐饮旺、夜市活、电商红四个方面，营造浓厚消费氛围，联合商家大力开展传统节假日、重要纪念日以及春季开河、夏季西瓜、秋季物资交流、冬季宰牲等地方特殊时令、特色活动节促销活动，在全旗掀起惠民促销热潮，不遗余力活跃消费市场。积极发展新零售、直播带货、在线订购、电子商务等新消费业态，支持众华、隆盛城等传统商贸主体电商化、数字化改造升级，鼓励碧霞、达拉滩、方天、银泉、旭日等地方特色企业参与电商营销，培育网红经济等消费新业态。推进消费领域信用体系建设，加强流通行业管理，加快打造锡尼街、北国路、新时代街等特色商业文化街区，营造安全、舒适、快乐的商贸消费环境，着力构建陶瓷广场等消费新场景，丰富餐饮娱乐、影视院线、电玩竞技等夜经济，有序发展地摊经济，为新投资、新消费、新服务打开广阔空间。</w:t>
      </w:r>
      <w:bookmarkEnd w:id="448"/>
      <w:bookmarkEnd w:id="449"/>
      <w:bookmarkEnd w:id="450"/>
      <w:bookmarkEnd w:id="451"/>
      <w:bookmarkEnd w:id="452"/>
    </w:p>
    <w:p w14:paraId="3E9A8E88">
      <w:pPr>
        <w:pStyle w:val="4"/>
        <w:spacing w:line="600" w:lineRule="exact"/>
        <w:rPr>
          <w:rFonts w:ascii="楷体_GB2312" w:hAnsi="楷体_GB2312" w:eastAsia="楷体_GB2312" w:cs="楷体_GB2312"/>
        </w:rPr>
      </w:pPr>
      <w:bookmarkStart w:id="453" w:name="_Toc31260"/>
      <w:bookmarkStart w:id="454" w:name="_Toc26438"/>
      <w:bookmarkStart w:id="455" w:name="_Toc24497"/>
      <w:bookmarkStart w:id="456" w:name="_Toc11710"/>
      <w:bookmarkStart w:id="457" w:name="_Toc207"/>
      <w:bookmarkStart w:id="458" w:name="_Toc21823"/>
      <w:bookmarkStart w:id="459" w:name="_Toc2097318170"/>
      <w:r>
        <w:rPr>
          <w:rFonts w:hint="eastAsia" w:ascii="楷体_GB2312" w:hAnsi="楷体_GB2312" w:eastAsia="楷体_GB2312" w:cs="楷体_GB2312"/>
        </w:rPr>
        <w:t xml:space="preserve">第二节 </w:t>
      </w:r>
      <w:r>
        <w:rPr>
          <w:rFonts w:hint="eastAsia" w:ascii="楷体_GB2312" w:hAnsi="楷体_GB2312" w:eastAsia="楷体_GB2312" w:cs="楷体_GB2312"/>
          <w:lang w:val="en-US"/>
        </w:rPr>
        <w:t>健全现代流通体系</w:t>
      </w:r>
      <w:r>
        <w:rPr>
          <w:rFonts w:hint="eastAsia" w:ascii="楷体_GB2312" w:hAnsi="楷体_GB2312" w:eastAsia="楷体_GB2312" w:cs="楷体_GB2312"/>
        </w:rPr>
        <w:t>，厚植门户节点优势</w:t>
      </w:r>
      <w:bookmarkEnd w:id="453"/>
      <w:bookmarkEnd w:id="454"/>
      <w:bookmarkEnd w:id="455"/>
      <w:bookmarkEnd w:id="456"/>
      <w:bookmarkEnd w:id="457"/>
      <w:bookmarkEnd w:id="458"/>
      <w:bookmarkEnd w:id="459"/>
    </w:p>
    <w:p w14:paraId="50D53BEB">
      <w:pPr>
        <w:spacing w:line="600" w:lineRule="exact"/>
        <w:ind w:firstLine="640"/>
        <w:rPr>
          <w:rFonts w:ascii="Times New Roman" w:hAnsi="Times New Roman" w:eastAsia="仿宋_GB2312" w:cs="Times New Roman"/>
          <w:szCs w:val="32"/>
        </w:rPr>
      </w:pPr>
      <w:bookmarkStart w:id="460" w:name="_Toc14644"/>
      <w:bookmarkStart w:id="461" w:name="_Toc12124"/>
      <w:bookmarkStart w:id="462" w:name="_Toc8118"/>
      <w:bookmarkStart w:id="463" w:name="_Toc2550"/>
      <w:bookmarkStart w:id="464" w:name="_Toc19565"/>
      <w:r>
        <w:rPr>
          <w:rFonts w:hint="eastAsia" w:ascii="仿宋_GB2312" w:hAnsi="仿宋_GB2312" w:eastAsia="仿宋_GB2312" w:cs="仿宋_GB2312"/>
          <w:szCs w:val="32"/>
        </w:rPr>
        <w:t>用好区位优势，找准区域定位，统筹推进现代流通体系建设，积极参与包头—海南陆海新通道建设，畅通东、南、北向公铁海联运通道，构建多通道协同联运体系，打造呼包鄂区域双循环的重要流通节点地区。</w:t>
      </w:r>
      <w:bookmarkEnd w:id="460"/>
      <w:bookmarkEnd w:id="461"/>
      <w:bookmarkEnd w:id="462"/>
      <w:bookmarkEnd w:id="463"/>
      <w:bookmarkEnd w:id="464"/>
    </w:p>
    <w:p w14:paraId="18E19FD7">
      <w:pPr>
        <w:spacing w:line="600" w:lineRule="exact"/>
        <w:ind w:firstLine="643"/>
        <w:rPr>
          <w:rFonts w:ascii="仿宋_GB2312" w:hAnsi="仿宋_GB2312" w:eastAsia="仿宋_GB2312" w:cs="仿宋_GB2312"/>
          <w:szCs w:val="32"/>
        </w:rPr>
      </w:pPr>
      <w:bookmarkStart w:id="465" w:name="_Toc11971"/>
      <w:bookmarkStart w:id="466" w:name="_Toc17208"/>
      <w:bookmarkStart w:id="467" w:name="_Toc10144"/>
      <w:bookmarkStart w:id="468" w:name="_Toc18429"/>
      <w:bookmarkStart w:id="469" w:name="_Toc11685"/>
      <w:r>
        <w:rPr>
          <w:rStyle w:val="34"/>
          <w:rFonts w:hint="eastAsia" w:ascii="楷体_GB2312" w:hAnsi="楷体_GB2312" w:eastAsia="楷体_GB2312" w:cs="楷体_GB2312"/>
        </w:rPr>
        <w:t>加强特色节点城市建设</w:t>
      </w:r>
      <w:r>
        <w:rPr>
          <w:rFonts w:hint="eastAsia" w:ascii="楷体_GB2312" w:hAnsi="楷体_GB2312" w:eastAsia="楷体_GB2312" w:cs="楷体_GB2312"/>
          <w:b/>
          <w:bCs/>
        </w:rPr>
        <w:t>。</w:t>
      </w:r>
      <w:r>
        <w:rPr>
          <w:rFonts w:hint="eastAsia" w:ascii="仿宋_GB2312" w:hAnsi="仿宋_GB2312" w:eastAsia="仿宋_GB2312" w:cs="仿宋_GB2312"/>
          <w:szCs w:val="32"/>
        </w:rPr>
        <w:t>以融入呼包鄂榆城市群建设为引领，主动服务自治区和全市对外开放战略。聚焦互联互通，全力优化综合交通网络，争取建设包西高铁达拉特站、包达城际轨道交通、达拉特通用机场等标志性、引领性大通道项目，进一步升级加密全旗公路网和城市道路网，打通内部循环网络，增强集聚力和辐射力，促进资源要素更加高效配置。畅通跨河通道，探索与毗邻地区公交一体化运营，加快与毗邻城市同城化进程，建设“1小时经济圈”。落实黄河流域生态保护和高质量发展要求，依托沿黄优质农田、草原、湿地、遗址遗迹等资源，建设黄河生态涵养带，打造“黄河几字弯”湿地公园。提升乡村民宿、都市观光农业、生态公园等质量水平，建设呼包鄂都市圈休闲度假后花园。</w:t>
      </w:r>
      <w:bookmarkEnd w:id="465"/>
      <w:bookmarkEnd w:id="466"/>
      <w:bookmarkEnd w:id="467"/>
      <w:bookmarkEnd w:id="468"/>
      <w:bookmarkEnd w:id="469"/>
    </w:p>
    <w:p w14:paraId="6E054D12">
      <w:pPr>
        <w:spacing w:line="600" w:lineRule="exact"/>
        <w:ind w:firstLine="643"/>
        <w:rPr>
          <w:rFonts w:ascii="仿宋_GB2312" w:hAnsi="仿宋_GB2312" w:eastAsia="仿宋_GB2312" w:cs="仿宋_GB2312"/>
          <w:szCs w:val="32"/>
        </w:rPr>
      </w:pPr>
      <w:bookmarkStart w:id="470" w:name="_Toc9320"/>
      <w:bookmarkStart w:id="471" w:name="_Toc5039"/>
      <w:bookmarkStart w:id="472" w:name="_Toc15200"/>
      <w:bookmarkStart w:id="473" w:name="_Toc10592"/>
      <w:bookmarkStart w:id="474" w:name="_Toc6148"/>
      <w:r>
        <w:rPr>
          <w:rStyle w:val="34"/>
          <w:rFonts w:hint="eastAsia" w:ascii="楷体_GB2312" w:hAnsi="楷体_GB2312" w:eastAsia="楷体_GB2312" w:cs="楷体_GB2312"/>
        </w:rPr>
        <w:t>推动区域综合交通发展</w:t>
      </w:r>
      <w:r>
        <w:rPr>
          <w:rFonts w:hint="eastAsia" w:ascii="楷体_GB2312" w:hAnsi="楷体_GB2312" w:eastAsia="楷体_GB2312" w:cs="楷体_GB2312"/>
          <w:b/>
          <w:bCs/>
        </w:rPr>
        <w:t>。</w:t>
      </w:r>
      <w:r>
        <w:rPr>
          <w:rFonts w:hint="eastAsia" w:ascii="仿宋_GB2312" w:hAnsi="仿宋_GB2312" w:eastAsia="仿宋_GB2312" w:cs="仿宋_GB2312"/>
          <w:szCs w:val="32"/>
        </w:rPr>
        <w:t>以铁路、公路为依托，整合全旗物流园区，全力构建现代物流体系，打造辐射呼包鄂地区的综合性陆港枢纽，支撑我旗高水平对外开放。在区域物流方面，切实发挥国家物流信息平台催化带动作用，加快开发区物流园建设，优化提升铁路集疏运网络，促进区域物流降本增效。在城市物流方面，深入开展城市绿色货运配送示范工程，鼓励引导企业创新发展统一配送、集中配送、共同配送等组织模式。在农村物流方面，突出“布点、织网、联动”，推进物流网络融合和资源共享，加快形成覆盖旗、镇、村三级的农村物流网络，鼓励大中型快递物流企业向农村设置配送网点，支持快递下乡、进村，延伸农村物流服务链条。到2025年，力争公铁路集运吞吐量翻一番。</w:t>
      </w:r>
      <w:bookmarkEnd w:id="470"/>
      <w:bookmarkEnd w:id="471"/>
      <w:bookmarkEnd w:id="472"/>
      <w:bookmarkEnd w:id="473"/>
      <w:bookmarkEnd w:id="474"/>
    </w:p>
    <w:p w14:paraId="7D66CC0D">
      <w:pPr>
        <w:pStyle w:val="4"/>
        <w:spacing w:line="600" w:lineRule="exact"/>
        <w:rPr>
          <w:rFonts w:ascii="楷体_GB2312" w:hAnsi="楷体_GB2312" w:eastAsia="楷体_GB2312" w:cs="楷体_GB2312"/>
          <w:shd w:val="clear" w:color="auto" w:fill="FFFFFF"/>
        </w:rPr>
      </w:pPr>
      <w:bookmarkStart w:id="475" w:name="_Toc14740"/>
      <w:bookmarkStart w:id="476" w:name="_Toc829901332"/>
      <w:bookmarkStart w:id="477" w:name="_Toc32462"/>
      <w:bookmarkStart w:id="478" w:name="_Toc3598"/>
      <w:bookmarkStart w:id="479" w:name="_Toc28424"/>
      <w:bookmarkStart w:id="480" w:name="_Toc32673"/>
      <w:bookmarkStart w:id="481" w:name="_Toc5924"/>
      <w:r>
        <w:rPr>
          <w:rFonts w:hint="eastAsia" w:ascii="楷体_GB2312" w:hAnsi="楷体_GB2312" w:eastAsia="楷体_GB2312" w:cs="楷体_GB2312"/>
        </w:rPr>
        <w:t xml:space="preserve">第三节 </w:t>
      </w:r>
      <w:r>
        <w:rPr>
          <w:rFonts w:hint="eastAsia" w:ascii="楷体_GB2312" w:hAnsi="楷体_GB2312" w:eastAsia="楷体_GB2312" w:cs="楷体_GB2312"/>
          <w:lang w:val="en-US"/>
        </w:rPr>
        <w:t>拓展开放合作空间</w:t>
      </w:r>
      <w:r>
        <w:rPr>
          <w:rFonts w:hint="eastAsia" w:ascii="楷体_GB2312" w:hAnsi="楷体_GB2312" w:eastAsia="楷体_GB2312" w:cs="楷体_GB2312"/>
        </w:rPr>
        <w:t>，培育地区竞争新优势</w:t>
      </w:r>
      <w:bookmarkEnd w:id="475"/>
      <w:bookmarkEnd w:id="476"/>
      <w:bookmarkEnd w:id="477"/>
      <w:bookmarkEnd w:id="478"/>
      <w:bookmarkEnd w:id="479"/>
      <w:bookmarkEnd w:id="480"/>
      <w:bookmarkEnd w:id="481"/>
      <w:bookmarkStart w:id="482" w:name="_Toc59098788"/>
    </w:p>
    <w:p w14:paraId="526B5594">
      <w:pPr>
        <w:spacing w:line="600" w:lineRule="exact"/>
        <w:ind w:firstLine="640"/>
        <w:rPr>
          <w:rFonts w:ascii="仿宋_GB2312" w:hAnsi="仿宋_GB2312" w:eastAsia="仿宋_GB2312" w:cs="仿宋_GB2312"/>
          <w:szCs w:val="32"/>
        </w:rPr>
      </w:pPr>
      <w:bookmarkStart w:id="483" w:name="_Toc17743"/>
      <w:bookmarkStart w:id="484" w:name="_Toc24326"/>
      <w:bookmarkStart w:id="485" w:name="_Toc29638"/>
      <w:bookmarkStart w:id="486" w:name="_Toc15772"/>
      <w:bookmarkStart w:id="487" w:name="_Toc18878"/>
      <w:r>
        <w:rPr>
          <w:rFonts w:hint="eastAsia" w:ascii="仿宋_GB2312" w:hAnsi="仿宋_GB2312" w:eastAsia="仿宋_GB2312" w:cs="仿宋_GB2312"/>
          <w:szCs w:val="32"/>
        </w:rPr>
        <w:t>全面提升地区开放理念，大力优化开放环境，深度实施大城市融入战略，主动融入、协同、配套呼包鄂经济圈，努力吸收旗外各类优质资源和先进要素，促进更高层次、更宽领域、更大范围的开放合作，建成自治区中西部开放型经济发展新高地、鄂尔多斯北向高水平开放门户。</w:t>
      </w:r>
      <w:bookmarkEnd w:id="483"/>
      <w:bookmarkEnd w:id="484"/>
      <w:bookmarkEnd w:id="485"/>
      <w:bookmarkEnd w:id="486"/>
      <w:bookmarkEnd w:id="487"/>
    </w:p>
    <w:p w14:paraId="11453378">
      <w:pPr>
        <w:spacing w:line="600" w:lineRule="exact"/>
        <w:ind w:firstLine="643"/>
        <w:rPr>
          <w:rFonts w:ascii="Times New Roman" w:hAnsi="Times New Roman" w:eastAsia="仿宋_GB2312" w:cs="Times New Roman"/>
          <w:szCs w:val="32"/>
        </w:rPr>
      </w:pPr>
      <w:bookmarkStart w:id="488" w:name="_Toc15302"/>
      <w:bookmarkStart w:id="489" w:name="_Toc12917"/>
      <w:bookmarkStart w:id="490" w:name="_Toc5579"/>
      <w:bookmarkStart w:id="491" w:name="_Toc22523"/>
      <w:bookmarkStart w:id="492" w:name="_Toc8388"/>
      <w:r>
        <w:rPr>
          <w:rStyle w:val="34"/>
          <w:rFonts w:hint="eastAsia" w:ascii="楷体_GB2312" w:hAnsi="楷体_GB2312" w:eastAsia="楷体_GB2312" w:cs="楷体_GB2312"/>
          <w:lang w:val="en-US"/>
        </w:rPr>
        <w:t>推动毗邻地区联动发展</w:t>
      </w:r>
      <w:r>
        <w:rPr>
          <w:rFonts w:hint="eastAsia" w:ascii="楷体_GB2312" w:hAnsi="楷体_GB2312" w:eastAsia="楷体_GB2312" w:cs="楷体_GB2312"/>
          <w:b/>
          <w:bCs/>
          <w:lang w:val="en-US"/>
        </w:rPr>
        <w:t>。</w:t>
      </w:r>
      <w:r>
        <w:rPr>
          <w:rFonts w:ascii="Times New Roman" w:hAnsi="Times New Roman" w:eastAsia="仿宋_GB2312" w:cs="Times New Roman"/>
          <w:szCs w:val="32"/>
          <w:lang w:val="en-US"/>
        </w:rPr>
        <w:t>发挥黄河天然纽带效应，联动杭锦旗、准</w:t>
      </w:r>
      <w:r>
        <w:rPr>
          <w:rFonts w:hint="eastAsia" w:ascii="Times New Roman" w:hAnsi="Times New Roman" w:eastAsia="仿宋_GB2312" w:cs="Times New Roman"/>
          <w:szCs w:val="32"/>
          <w:lang w:val="en-US"/>
        </w:rPr>
        <w:t>格</w:t>
      </w:r>
      <w:r>
        <w:rPr>
          <w:rFonts w:ascii="Times New Roman" w:hAnsi="Times New Roman" w:eastAsia="仿宋_GB2312" w:cs="Times New Roman"/>
          <w:szCs w:val="32"/>
          <w:lang w:val="en-US"/>
        </w:rPr>
        <w:t>尔旗等毗邻地区，协调推进黄河流域生态系统修复和环境综合治理。突出抓好水土保持和污染防治，融入以流域为单元的水污染防治区域联动机制，加强水功能区和入河排污口的全覆盖监测，实施水权、排污权市场化交易，持续改善流域水环境。落实黄河流域横向生态补偿机制，着力破解沿黄农牧区过度放牧和无序开发利用河滩地资源的难题。</w:t>
      </w:r>
      <w:r>
        <w:rPr>
          <w:rFonts w:ascii="Times New Roman" w:hAnsi="Times New Roman" w:eastAsia="仿宋_GB2312" w:cs="Times New Roman"/>
          <w:szCs w:val="32"/>
        </w:rPr>
        <w:t>立足产业特色和区域优势，瞄准科技含量高、市场前景好、发展潜力大的新材料、数字经济、高端制造等战略性新兴产业领域，联合争取相关政策支持，增强区域产业竞争力和话语权，重点推动达拉特经济开发区、准</w:t>
      </w:r>
      <w:r>
        <w:rPr>
          <w:rFonts w:hint="eastAsia" w:ascii="Times New Roman" w:hAnsi="Times New Roman" w:eastAsia="仿宋_GB2312" w:cs="Times New Roman"/>
          <w:szCs w:val="32"/>
        </w:rPr>
        <w:t>格</w:t>
      </w:r>
      <w:r>
        <w:rPr>
          <w:rFonts w:ascii="Times New Roman" w:hAnsi="Times New Roman" w:eastAsia="仿宋_GB2312" w:cs="Times New Roman"/>
          <w:szCs w:val="32"/>
        </w:rPr>
        <w:t>尔大路工业园区协作发展煤化工、新材料等产业，打造鄂尔多斯市区域协同发展示范区。</w:t>
      </w:r>
      <w:bookmarkEnd w:id="488"/>
      <w:bookmarkEnd w:id="489"/>
      <w:bookmarkEnd w:id="490"/>
      <w:bookmarkEnd w:id="491"/>
      <w:bookmarkEnd w:id="492"/>
    </w:p>
    <w:p w14:paraId="0FCD0A09">
      <w:pPr>
        <w:spacing w:line="600" w:lineRule="exact"/>
        <w:ind w:firstLine="643"/>
        <w:rPr>
          <w:rFonts w:ascii="仿宋_GB2312" w:hAnsi="仿宋_GB2312" w:eastAsia="仿宋_GB2312" w:cs="仿宋_GB2312"/>
          <w:szCs w:val="32"/>
        </w:rPr>
      </w:pPr>
      <w:bookmarkStart w:id="493" w:name="_Toc7524"/>
      <w:bookmarkStart w:id="494" w:name="_Toc27565"/>
      <w:bookmarkStart w:id="495" w:name="_Toc6909"/>
      <w:bookmarkStart w:id="496" w:name="_Toc27351"/>
      <w:bookmarkStart w:id="497" w:name="_Toc10184"/>
      <w:r>
        <w:rPr>
          <w:rStyle w:val="34"/>
          <w:rFonts w:hint="eastAsia" w:ascii="楷体_GB2312" w:hAnsi="楷体_GB2312" w:eastAsia="楷体_GB2312" w:cs="楷体_GB2312"/>
        </w:rPr>
        <w:t>积极融入呼包鄂协同发展</w:t>
      </w:r>
      <w:r>
        <w:rPr>
          <w:rFonts w:hint="eastAsia" w:ascii="楷体_GB2312" w:hAnsi="楷体_GB2312" w:eastAsia="楷体_GB2312" w:cs="楷体_GB2312"/>
          <w:b/>
          <w:bCs/>
        </w:rPr>
        <w:t>。</w:t>
      </w:r>
      <w:r>
        <w:rPr>
          <w:rFonts w:hint="eastAsia" w:ascii="仿宋_GB2312" w:hAnsi="仿宋_GB2312" w:eastAsia="仿宋_GB2312" w:cs="仿宋_GB2312"/>
          <w:szCs w:val="32"/>
        </w:rPr>
        <w:t>发挥包鄂协同发展桥头堡和呼包鄂协同发展重要节点的区位优势，强化与呼、包、鄂三大核心城市的对接，形成面向呼包鄂的全方位开放格局，着力推进基础设施互联、资源优势互补、产业发展互融、生态建设互促和公共服务共享，构建自治区区域协同发展新模式。承接包头市等毗邻地区产业溢出效应，主动对接、吸收、借鉴各地产业转型成果，嵌入区域产业联动，推动产业错位发展，协同解决能源化工、现代物流、高端铝冶金、碳基新材料等重点行业、重点产业链、供应链转型升级问题，实现优势互补。加强公共服务便利共享，推广建立旅游联盟，探索实施区域旅游“一卡通”，提升教育联盟合作、医疗卫生互认，强化社会保障协作，促进人才交流。</w:t>
      </w:r>
      <w:bookmarkEnd w:id="493"/>
      <w:bookmarkEnd w:id="494"/>
      <w:bookmarkEnd w:id="495"/>
      <w:bookmarkEnd w:id="496"/>
      <w:bookmarkEnd w:id="497"/>
    </w:p>
    <w:p w14:paraId="1D7363CF">
      <w:pPr>
        <w:spacing w:line="600" w:lineRule="exact"/>
        <w:ind w:firstLine="643"/>
        <w:rPr>
          <w:rFonts w:ascii="Times New Roman" w:hAnsi="Times New Roman" w:eastAsia="仿宋_GB2312" w:cs="Times New Roman"/>
          <w:szCs w:val="32"/>
        </w:rPr>
      </w:pPr>
      <w:bookmarkStart w:id="498" w:name="_Toc19238"/>
      <w:bookmarkStart w:id="499" w:name="_Toc4828"/>
      <w:bookmarkStart w:id="500" w:name="_Toc6586"/>
      <w:bookmarkStart w:id="501" w:name="_Toc12737"/>
      <w:bookmarkStart w:id="502" w:name="_Toc12200"/>
      <w:r>
        <w:rPr>
          <w:rStyle w:val="34"/>
          <w:rFonts w:hint="eastAsia" w:ascii="楷体_GB2312" w:hAnsi="楷体_GB2312" w:eastAsia="楷体_GB2312" w:cs="楷体_GB2312"/>
        </w:rPr>
        <w:t>深化对接京津冀、长三角、珠三角</w:t>
      </w:r>
      <w:r>
        <w:rPr>
          <w:rFonts w:hint="eastAsia" w:ascii="楷体_GB2312" w:hAnsi="楷体_GB2312" w:eastAsia="楷体_GB2312" w:cs="楷体_GB2312"/>
        </w:rPr>
        <w:t>。</w:t>
      </w:r>
      <w:r>
        <w:rPr>
          <w:rFonts w:hint="eastAsia" w:ascii="仿宋_GB2312" w:hAnsi="仿宋_GB2312" w:eastAsia="仿宋_GB2312" w:cs="仿宋_GB2312"/>
          <w:szCs w:val="32"/>
        </w:rPr>
        <w:t>进一步营造开放、公平、竞争、有序的市场环境，积极搭建双向交流合作平台，深入开展与京津冀地区的大型投资洽谈，合理承接长三角、珠三角、长江经济带等区域产能转移，大力争取外界先进技术、高端人才和资金资源。推动中小企业开展线上营销，支持企业利用互联网平台开展直购进出口、跨境电商B2B等多种业务模式，拓展国际国内市场。围绕我旗特色主导产业，开发一批成长性好、市场化程度高、有吸引力的外向型实体企业招商项目，开展外向型实体企业精准招商。</w:t>
      </w:r>
      <w:bookmarkEnd w:id="482"/>
      <w:bookmarkEnd w:id="498"/>
      <w:bookmarkEnd w:id="499"/>
      <w:bookmarkEnd w:id="500"/>
      <w:bookmarkEnd w:id="501"/>
      <w:bookmarkEnd w:id="502"/>
    </w:p>
    <w:p w14:paraId="6104D976">
      <w:pPr>
        <w:pStyle w:val="4"/>
        <w:spacing w:line="600" w:lineRule="exact"/>
        <w:rPr>
          <w:rFonts w:ascii="Times New Roman" w:hAnsi="Times New Roman" w:cs="Times New Roman"/>
          <w:lang w:val="en-US"/>
        </w:rPr>
      </w:pPr>
      <w:bookmarkStart w:id="503" w:name="_Toc1162832757"/>
      <w:bookmarkStart w:id="504" w:name="_Toc533576399"/>
      <w:bookmarkStart w:id="505" w:name="_Toc346990134"/>
      <w:bookmarkStart w:id="506" w:name="_Toc245399659"/>
      <w:bookmarkStart w:id="507" w:name="_Toc2082977704"/>
      <w:bookmarkStart w:id="508" w:name="_Toc1993633850"/>
      <w:bookmarkStart w:id="509" w:name="_Toc1088190198"/>
      <w:bookmarkStart w:id="510" w:name="_Toc855039297"/>
      <w:bookmarkStart w:id="511" w:name="_Toc19959"/>
      <w:r>
        <w:rPr>
          <w:rFonts w:hint="eastAsia" w:ascii="楷体_GB2312" w:hAnsi="楷体_GB2312" w:eastAsia="楷体_GB2312" w:cs="楷体_GB2312"/>
          <w:lang w:val="en-US"/>
        </w:rPr>
        <w:t xml:space="preserve">第四节 </w:t>
      </w:r>
      <w:r>
        <w:rPr>
          <w:rFonts w:hint="eastAsia" w:ascii="楷体_GB2312" w:hAnsi="楷体_GB2312" w:eastAsia="楷体_GB2312" w:cs="楷体_GB2312"/>
        </w:rPr>
        <w:t>激发市场主体活力</w:t>
      </w:r>
      <w:r>
        <w:rPr>
          <w:rFonts w:hint="eastAsia" w:ascii="楷体_GB2312" w:hAnsi="楷体_GB2312" w:eastAsia="楷体_GB2312" w:cs="楷体_GB2312"/>
          <w:lang w:val="en-US"/>
        </w:rPr>
        <w:t>，</w:t>
      </w:r>
      <w:bookmarkEnd w:id="503"/>
      <w:bookmarkEnd w:id="504"/>
      <w:bookmarkEnd w:id="505"/>
      <w:bookmarkEnd w:id="506"/>
      <w:bookmarkEnd w:id="507"/>
      <w:bookmarkEnd w:id="508"/>
      <w:bookmarkEnd w:id="509"/>
      <w:bookmarkEnd w:id="510"/>
      <w:r>
        <w:rPr>
          <w:rFonts w:hint="eastAsia" w:ascii="楷体_GB2312" w:hAnsi="楷体_GB2312" w:eastAsia="楷体_GB2312" w:cs="楷体_GB2312"/>
          <w:lang w:val="en-US"/>
        </w:rPr>
        <w:t>扩大精准有效</w:t>
      </w:r>
      <w:r>
        <w:rPr>
          <w:rFonts w:hint="eastAsia" w:ascii="楷体_GB2312" w:hAnsi="楷体_GB2312" w:eastAsia="楷体_GB2312" w:cs="楷体_GB2312"/>
        </w:rPr>
        <w:t>投资</w:t>
      </w:r>
      <w:bookmarkEnd w:id="511"/>
    </w:p>
    <w:p w14:paraId="437AD361">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充分发挥投资对促进产业结构调整的关键性作用，找准优化供给结构与扩大需求的结合点，加快完善投资布局，优化提升投资结构，提高投资补短板、增动能、拓潜力的精准性和有效性，持续增强发展后劲。</w:t>
      </w:r>
    </w:p>
    <w:p w14:paraId="336F4123">
      <w:pPr>
        <w:widowControl/>
        <w:spacing w:line="640" w:lineRule="exact"/>
        <w:ind w:firstLine="643"/>
        <w:rPr>
          <w:rFonts w:ascii="仿宋_GB2312" w:hAnsi="仿宋_GB2312" w:eastAsia="仿宋_GB2312" w:cs="仿宋_GB2312"/>
        </w:rPr>
      </w:pPr>
      <w:r>
        <w:rPr>
          <w:rFonts w:hint="eastAsia" w:ascii="楷体_GB2312" w:hAnsi="楷体_GB2312" w:eastAsia="楷体_GB2312" w:cs="楷体_GB2312"/>
          <w:b/>
          <w:bCs/>
          <w:szCs w:val="32"/>
        </w:rPr>
        <w:t>激发市场主体活力。</w:t>
      </w:r>
      <w:r>
        <w:rPr>
          <w:rFonts w:hint="eastAsia" w:ascii="仿宋_GB2312" w:hAnsi="仿宋_GB2312" w:eastAsia="仿宋_GB2312" w:cs="仿宋_GB2312"/>
          <w:szCs w:val="32"/>
        </w:rPr>
        <w:t>充分发挥政府投资的引导带动作用，</w:t>
      </w:r>
      <w:r>
        <w:rPr>
          <w:rFonts w:hint="eastAsia" w:ascii="仿宋_GB2312" w:hAnsi="仿宋_GB2312" w:eastAsia="仿宋_GB2312" w:cs="仿宋_GB2312"/>
          <w:szCs w:val="32"/>
          <w:lang w:val="en-US"/>
        </w:rPr>
        <w:t>围绕生态建设、节能环保、改善民生、服务国家发展战略等需要，</w:t>
      </w:r>
      <w:r>
        <w:rPr>
          <w:rFonts w:hint="eastAsia" w:ascii="仿宋_GB2312" w:hAnsi="仿宋_GB2312" w:eastAsia="仿宋_GB2312" w:cs="仿宋_GB2312"/>
          <w:szCs w:val="32"/>
        </w:rPr>
        <w:t>合理确定政府投资范围，重点加强社会公益服务、公共基础设施、农业农村、生态环境保护、重大科技进步、社会管理、国家安全等公共领域非经营性项目投资。推动设立基础设施建设基金、公共服务发展基金、政府出资产业投资基金等各类基金，引导和带动社会投资。聚焦地方政府专项债券投向范围，加强重大建设项目库。完善政府和社会资本合作模式，建立民间资本项目推介长效机制，常态化公开公布投资回报明确、商业潜力巨大的项目清单，积极吸引民间资本参与，全力</w:t>
      </w:r>
      <w:r>
        <w:rPr>
          <w:rFonts w:hint="eastAsia" w:ascii="仿宋_GB2312" w:hAnsi="仿宋_GB2312" w:eastAsia="仿宋_GB2312" w:cs="仿宋_GB2312"/>
          <w:szCs w:val="32"/>
          <w:lang w:val="en-US"/>
        </w:rPr>
        <w:t>撬动社会资本投资</w:t>
      </w:r>
      <w:r>
        <w:rPr>
          <w:rFonts w:hint="eastAsia" w:ascii="仿宋_GB2312" w:hAnsi="仿宋_GB2312" w:eastAsia="仿宋_GB2312" w:cs="仿宋_GB2312"/>
          <w:szCs w:val="32"/>
        </w:rPr>
        <w:t>。</w:t>
      </w:r>
    </w:p>
    <w:p w14:paraId="6948D2E1">
      <w:pPr>
        <w:spacing w:line="640" w:lineRule="exact"/>
        <w:ind w:firstLine="643"/>
        <w:rPr>
          <w:rFonts w:ascii="仿宋_GB2312" w:hAnsi="仿宋_GB2312" w:eastAsia="仿宋_GB2312" w:cs="仿宋_GB2312"/>
        </w:rPr>
      </w:pPr>
      <w:r>
        <w:rPr>
          <w:rFonts w:hint="eastAsia" w:ascii="楷体_GB2312" w:hAnsi="楷体_GB2312" w:eastAsia="楷体_GB2312" w:cs="楷体_GB2312"/>
          <w:b/>
          <w:bCs/>
          <w:szCs w:val="32"/>
        </w:rPr>
        <w:t>有效扩大产业投资。</w:t>
      </w:r>
      <w:r>
        <w:rPr>
          <w:rFonts w:hint="eastAsia" w:ascii="仿宋_GB2312" w:hAnsi="仿宋_GB2312" w:eastAsia="仿宋_GB2312" w:cs="仿宋_GB2312"/>
          <w:szCs w:val="32"/>
        </w:rPr>
        <w:t>聚焦产业发展的支柱地位，引导各类优质资源向产业聚集，稳定产业投资。加快传统产业智能化、绿色化、服务化、高端化改造，加大设备更新和技改投入，围绕强链补链延链，强化产业链、创新链精准招商，推动全产业链高质量发展。瞄准科技含量高、市场前景好、发展潜力大的数字经济、生物健康、智能制造等新兴产业领域，加大项目投资力度，加快构建现代化产业体系，增强全社会可持续发展能力。大力实施项目带动战略，加强经济形势跟踪和政策预研，储备一批改善社会民生、拓展发展潜力的重大项目，健全项目推进和保障机制，提升企业开办速度，提高要素保障能力，优化投资环境，推动项目加快落地。着力</w:t>
      </w:r>
      <w:r>
        <w:rPr>
          <w:rFonts w:hint="eastAsia" w:ascii="仿宋_GB2312" w:hAnsi="仿宋_GB2312" w:eastAsia="仿宋_GB2312" w:cs="仿宋_GB2312"/>
          <w:szCs w:val="32"/>
          <w:lang w:val="en-US"/>
        </w:rPr>
        <w:t>扩大外商投资规模</w:t>
      </w:r>
      <w:r>
        <w:rPr>
          <w:rFonts w:hint="eastAsia" w:ascii="仿宋_GB2312" w:hAnsi="仿宋_GB2312" w:eastAsia="仿宋_GB2312" w:cs="仿宋_GB2312"/>
          <w:szCs w:val="32"/>
        </w:rPr>
        <w:t>，支持企业通过参加国内专业性展会开拓国内市场, 鼓励引导企业拓展开发“一带一路”沿线城市和新兴国家市场，扩大供港蔬菜、韩国泡菜和羊绒等跨境贸易规模，大力引进蒙俄日韩等周边国家跨国公司。</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66CA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89" w:hRule="atLeast"/>
        </w:trPr>
        <w:tc>
          <w:tcPr>
            <w:tcW w:w="9064" w:type="dxa"/>
            <w:shd w:val="clear" w:color="auto" w:fill="D8D8D8" w:themeFill="background1" w:themeFillShade="D9"/>
            <w:vAlign w:val="center"/>
          </w:tcPr>
          <w:p w14:paraId="6F44292F">
            <w:pPr>
              <w:spacing w:line="240" w:lineRule="auto"/>
              <w:ind w:firstLine="562"/>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专栏8：呼包鄂区域双循环的流通枢纽</w:t>
            </w:r>
          </w:p>
        </w:tc>
      </w:tr>
      <w:tr w14:paraId="1788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64" w:type="dxa"/>
            <w:shd w:val="clear" w:color="auto" w:fill="FDEADA" w:themeFill="accent6" w:themeFillShade="D9" w:themeFillTint="32"/>
            <w:vAlign w:val="center"/>
          </w:tcPr>
          <w:p w14:paraId="104857CE">
            <w:pPr>
              <w:pStyle w:val="60"/>
              <w:spacing w:line="240" w:lineRule="auto"/>
              <w:jc w:val="center"/>
              <w:rPr>
                <w:rFonts w:ascii="Times New Roman" w:hAnsi="Times New Roman" w:eastAsia="仿宋_GB2312" w:cs="Times New Roman"/>
                <w:sz w:val="28"/>
                <w:szCs w:val="28"/>
              </w:rPr>
            </w:pPr>
            <w:bookmarkStart w:id="512" w:name="_Toc23118"/>
            <w:bookmarkStart w:id="513" w:name="_Toc9601"/>
            <w:bookmarkStart w:id="514" w:name="_Toc12423"/>
            <w:bookmarkStart w:id="515" w:name="_Toc11496"/>
            <w:bookmarkStart w:id="516" w:name="_Toc4836"/>
            <w:r>
              <w:rPr>
                <w:rFonts w:ascii="Times New Roman" w:hAnsi="Times New Roman" w:eastAsia="仿宋_GB2312" w:cs="Times New Roman"/>
                <w:b/>
                <w:bCs/>
                <w:sz w:val="28"/>
                <w:szCs w:val="28"/>
              </w:rPr>
              <w:t>重大战略</w:t>
            </w:r>
            <w:bookmarkEnd w:id="512"/>
            <w:bookmarkEnd w:id="513"/>
            <w:bookmarkEnd w:id="514"/>
            <w:bookmarkEnd w:id="515"/>
            <w:bookmarkEnd w:id="516"/>
          </w:p>
        </w:tc>
      </w:tr>
      <w:tr w14:paraId="7F7F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021C66F">
            <w:pPr>
              <w:pStyle w:val="60"/>
              <w:ind w:firstLine="360" w:firstLineChars="150"/>
              <w:rPr>
                <w:rFonts w:ascii="仿宋_GB2312" w:hAnsi="Times New Roman" w:eastAsia="仿宋_GB2312" w:cs="Times New Roman"/>
              </w:rPr>
            </w:pPr>
            <w:bookmarkStart w:id="517" w:name="_Toc8368"/>
            <w:bookmarkStart w:id="518" w:name="_Toc4841"/>
            <w:bookmarkStart w:id="519" w:name="_Toc24933"/>
            <w:bookmarkStart w:id="520" w:name="_Toc29007"/>
            <w:bookmarkStart w:id="521" w:name="_Toc7395"/>
            <w:r>
              <w:rPr>
                <w:rFonts w:hint="eastAsia" w:ascii="仿宋_GB2312" w:hAnsi="Times New Roman" w:eastAsia="仿宋_GB2312" w:cs="Times New Roman"/>
              </w:rPr>
              <w:t>◆ 辐射呼包鄂地区的综合性陆港枢纽</w:t>
            </w:r>
            <w:bookmarkEnd w:id="517"/>
            <w:bookmarkEnd w:id="518"/>
            <w:bookmarkEnd w:id="519"/>
            <w:bookmarkEnd w:id="520"/>
            <w:bookmarkEnd w:id="521"/>
          </w:p>
          <w:p w14:paraId="55BECBA3">
            <w:pPr>
              <w:pStyle w:val="60"/>
              <w:ind w:firstLine="360" w:firstLineChars="150"/>
              <w:rPr>
                <w:rFonts w:ascii="仿宋_GB2312" w:hAnsi="Times New Roman" w:eastAsia="仿宋_GB2312" w:cs="Times New Roman"/>
              </w:rPr>
            </w:pPr>
            <w:bookmarkStart w:id="522" w:name="_Toc19032"/>
            <w:bookmarkStart w:id="523" w:name="_Toc14154"/>
            <w:bookmarkStart w:id="524" w:name="_Toc23935"/>
            <w:bookmarkStart w:id="525" w:name="_Toc17490"/>
            <w:bookmarkStart w:id="526" w:name="_Toc25835"/>
            <w:r>
              <w:rPr>
                <w:rFonts w:hint="eastAsia" w:ascii="仿宋_GB2312" w:hAnsi="Times New Roman" w:eastAsia="仿宋_GB2312" w:cs="Times New Roman"/>
              </w:rPr>
              <w:t>◆ 呼包鄂都市圈休闲度假后花园</w:t>
            </w:r>
            <w:bookmarkEnd w:id="522"/>
            <w:bookmarkEnd w:id="523"/>
            <w:bookmarkEnd w:id="524"/>
            <w:bookmarkEnd w:id="525"/>
            <w:bookmarkEnd w:id="526"/>
          </w:p>
          <w:p w14:paraId="16F0B11D">
            <w:pPr>
              <w:pStyle w:val="60"/>
              <w:ind w:firstLine="360" w:firstLineChars="150"/>
              <w:rPr>
                <w:rFonts w:ascii="仿宋_GB2312" w:hAnsi="Times New Roman" w:eastAsia="仿宋_GB2312" w:cs="Times New Roman"/>
              </w:rPr>
            </w:pPr>
            <w:bookmarkStart w:id="527" w:name="_Toc21201"/>
            <w:bookmarkStart w:id="528" w:name="_Toc31503"/>
            <w:bookmarkStart w:id="529" w:name="_Toc5638"/>
            <w:bookmarkStart w:id="530" w:name="_Toc4199"/>
            <w:bookmarkStart w:id="531" w:name="_Toc30244"/>
            <w:r>
              <w:rPr>
                <w:rFonts w:hint="eastAsia" w:ascii="仿宋_GB2312" w:hAnsi="Times New Roman" w:eastAsia="仿宋_GB2312" w:cs="Times New Roman"/>
              </w:rPr>
              <w:t>◆ 自治区中西部开放型经济发展新高地</w:t>
            </w:r>
            <w:bookmarkEnd w:id="527"/>
            <w:bookmarkEnd w:id="528"/>
            <w:bookmarkEnd w:id="529"/>
            <w:bookmarkEnd w:id="530"/>
            <w:bookmarkEnd w:id="531"/>
          </w:p>
          <w:p w14:paraId="4B847F31">
            <w:pPr>
              <w:pStyle w:val="60"/>
              <w:ind w:firstLine="360" w:firstLineChars="150"/>
              <w:rPr>
                <w:rFonts w:ascii="Times New Roman" w:hAnsi="Times New Roman" w:cs="Times New Roman"/>
                <w:szCs w:val="24"/>
              </w:rPr>
            </w:pPr>
            <w:bookmarkStart w:id="532" w:name="_Toc5257"/>
            <w:bookmarkStart w:id="533" w:name="_Toc2702"/>
            <w:bookmarkStart w:id="534" w:name="_Toc19005"/>
            <w:bookmarkStart w:id="535" w:name="_Toc5267"/>
            <w:bookmarkStart w:id="536" w:name="_Toc11110"/>
            <w:r>
              <w:rPr>
                <w:rFonts w:hint="eastAsia" w:ascii="仿宋_GB2312" w:hAnsi="Times New Roman" w:eastAsia="仿宋_GB2312" w:cs="Times New Roman"/>
              </w:rPr>
              <w:t>◆ 鄂尔多斯市区域协同发展示范区。达拉特经济开发区—准噶尔大路工业园区互补协作、错位发展煤化工、新材料等产业。</w:t>
            </w:r>
            <w:bookmarkEnd w:id="532"/>
            <w:bookmarkEnd w:id="533"/>
            <w:bookmarkEnd w:id="534"/>
            <w:bookmarkEnd w:id="535"/>
            <w:bookmarkEnd w:id="536"/>
          </w:p>
        </w:tc>
      </w:tr>
      <w:tr w14:paraId="1B1C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64" w:type="dxa"/>
            <w:shd w:val="clear" w:color="auto" w:fill="FDEADA" w:themeFill="accent6" w:themeFillShade="D9" w:themeFillTint="32"/>
            <w:vAlign w:val="center"/>
          </w:tcPr>
          <w:p w14:paraId="490ADBFB">
            <w:pPr>
              <w:pStyle w:val="60"/>
              <w:spacing w:line="240" w:lineRule="auto"/>
              <w:jc w:val="center"/>
              <w:rPr>
                <w:rFonts w:ascii="Times New Roman" w:hAnsi="Times New Roman" w:eastAsia="仿宋_GB2312" w:cs="Times New Roman"/>
                <w:sz w:val="28"/>
                <w:szCs w:val="28"/>
              </w:rPr>
            </w:pPr>
            <w:bookmarkStart w:id="537" w:name="_Toc12320"/>
            <w:bookmarkStart w:id="538" w:name="_Toc21654"/>
            <w:bookmarkStart w:id="539" w:name="_Toc14298"/>
            <w:bookmarkStart w:id="540" w:name="_Toc4826"/>
            <w:bookmarkStart w:id="541" w:name="_Toc24639"/>
            <w:r>
              <w:rPr>
                <w:rFonts w:ascii="Times New Roman" w:hAnsi="Times New Roman" w:eastAsia="仿宋_GB2312" w:cs="Times New Roman"/>
                <w:b/>
                <w:bCs/>
                <w:sz w:val="28"/>
                <w:szCs w:val="28"/>
              </w:rPr>
              <w:t>重大工程</w:t>
            </w:r>
            <w:bookmarkEnd w:id="537"/>
            <w:bookmarkEnd w:id="538"/>
            <w:bookmarkEnd w:id="539"/>
            <w:bookmarkEnd w:id="540"/>
            <w:bookmarkEnd w:id="541"/>
          </w:p>
        </w:tc>
      </w:tr>
      <w:tr w14:paraId="30CA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1357977">
            <w:pPr>
              <w:pStyle w:val="60"/>
              <w:ind w:firstLine="360" w:firstLineChars="150"/>
              <w:rPr>
                <w:rFonts w:ascii="仿宋_GB2312" w:hAnsi="Times New Roman" w:eastAsia="仿宋_GB2312" w:cs="Times New Roman"/>
              </w:rPr>
            </w:pPr>
            <w:bookmarkStart w:id="542" w:name="_Toc23800"/>
            <w:bookmarkStart w:id="543" w:name="_Toc1381"/>
            <w:bookmarkStart w:id="544" w:name="_Toc6158"/>
            <w:bookmarkStart w:id="545" w:name="_Toc23642"/>
            <w:bookmarkStart w:id="546" w:name="_Toc25758"/>
            <w:r>
              <w:rPr>
                <w:rFonts w:hint="eastAsia" w:ascii="仿宋_GB2312" w:hAnsi="Times New Roman" w:eastAsia="仿宋_GB2312" w:cs="Times New Roman"/>
              </w:rPr>
              <w:t>◆ 争取建设包西高铁达拉特站、包达城际轨道交通、达拉特通用机场等标志性、引领性大通道项目。</w:t>
            </w:r>
            <w:bookmarkEnd w:id="542"/>
            <w:bookmarkEnd w:id="543"/>
            <w:bookmarkEnd w:id="544"/>
            <w:bookmarkEnd w:id="545"/>
            <w:bookmarkEnd w:id="546"/>
          </w:p>
          <w:p w14:paraId="52CE9B25">
            <w:pPr>
              <w:pStyle w:val="60"/>
              <w:ind w:firstLine="360" w:firstLineChars="150"/>
              <w:rPr>
                <w:rFonts w:ascii="仿宋_GB2312" w:hAnsi="Times New Roman" w:eastAsia="仿宋_GB2312" w:cs="Times New Roman"/>
              </w:rPr>
            </w:pPr>
            <w:bookmarkStart w:id="547" w:name="_Toc26242"/>
            <w:bookmarkStart w:id="548" w:name="_Toc24163"/>
            <w:bookmarkStart w:id="549" w:name="_Toc31154"/>
            <w:bookmarkStart w:id="550" w:name="_Toc3291"/>
            <w:bookmarkStart w:id="551" w:name="_Toc32693"/>
            <w:r>
              <w:rPr>
                <w:rFonts w:hint="eastAsia" w:ascii="仿宋_GB2312" w:hAnsi="Times New Roman" w:eastAsia="仿宋_GB2312" w:cs="Times New Roman"/>
              </w:rPr>
              <w:t>◆ 公交一体化运营。加快与毗邻城市同城化进程，建设“1小时经济圈”。</w:t>
            </w:r>
            <w:bookmarkEnd w:id="547"/>
            <w:bookmarkEnd w:id="548"/>
            <w:bookmarkEnd w:id="549"/>
            <w:bookmarkEnd w:id="550"/>
            <w:bookmarkEnd w:id="551"/>
          </w:p>
          <w:p w14:paraId="4033402F">
            <w:pPr>
              <w:pStyle w:val="60"/>
              <w:ind w:firstLine="360" w:firstLineChars="150"/>
              <w:rPr>
                <w:rFonts w:ascii="仿宋_GB2312" w:hAnsi="Times New Roman" w:eastAsia="仿宋_GB2312" w:cs="Times New Roman"/>
              </w:rPr>
            </w:pPr>
            <w:bookmarkStart w:id="552" w:name="_Toc28290"/>
            <w:bookmarkStart w:id="553" w:name="_Toc5975"/>
            <w:bookmarkStart w:id="554" w:name="_Toc29361"/>
            <w:bookmarkStart w:id="555" w:name="_Toc17704"/>
            <w:bookmarkStart w:id="556" w:name="_Toc22259"/>
            <w:r>
              <w:rPr>
                <w:rFonts w:hint="eastAsia" w:ascii="仿宋_GB2312" w:hAnsi="Times New Roman" w:eastAsia="仿宋_GB2312" w:cs="Times New Roman"/>
              </w:rPr>
              <w:t xml:space="preserve">◆ </w:t>
            </w:r>
            <w:r>
              <w:rPr>
                <w:rFonts w:hint="eastAsia" w:ascii="仿宋_GB2312" w:hAnsi="Times New Roman" w:eastAsia="仿宋_GB2312" w:cs="Times New Roman"/>
                <w:szCs w:val="24"/>
              </w:rPr>
              <w:t>“黄河几字弯”</w:t>
            </w:r>
            <w:r>
              <w:rPr>
                <w:rFonts w:hint="eastAsia" w:ascii="仿宋_GB2312" w:hAnsi="Times New Roman" w:eastAsia="仿宋_GB2312" w:cs="Times New Roman"/>
              </w:rPr>
              <w:t>湿地公园</w:t>
            </w:r>
            <w:bookmarkEnd w:id="552"/>
            <w:bookmarkEnd w:id="553"/>
            <w:bookmarkEnd w:id="554"/>
            <w:bookmarkEnd w:id="555"/>
            <w:bookmarkEnd w:id="556"/>
          </w:p>
          <w:p w14:paraId="055ED5EF">
            <w:pPr>
              <w:pStyle w:val="60"/>
              <w:ind w:firstLine="360" w:firstLineChars="150"/>
              <w:rPr>
                <w:rFonts w:ascii="仿宋_GB2312" w:hAnsi="Times New Roman" w:eastAsia="仿宋_GB2312" w:cs="Times New Roman"/>
              </w:rPr>
            </w:pPr>
            <w:bookmarkStart w:id="557" w:name="_Toc20005"/>
            <w:bookmarkStart w:id="558" w:name="_Toc27569"/>
            <w:bookmarkStart w:id="559" w:name="_Toc20017"/>
            <w:bookmarkStart w:id="560" w:name="_Toc31200"/>
            <w:bookmarkStart w:id="561" w:name="_Toc4945"/>
            <w:r>
              <w:rPr>
                <w:rFonts w:hint="eastAsia" w:ascii="仿宋_GB2312" w:hAnsi="Times New Roman" w:eastAsia="仿宋_GB2312" w:cs="Times New Roman"/>
              </w:rPr>
              <w:t>◆ 城市绿色货运配送示范工程</w:t>
            </w:r>
            <w:bookmarkEnd w:id="557"/>
            <w:bookmarkEnd w:id="558"/>
            <w:bookmarkEnd w:id="559"/>
            <w:bookmarkEnd w:id="560"/>
            <w:bookmarkEnd w:id="561"/>
          </w:p>
          <w:p w14:paraId="6684B5B0">
            <w:pPr>
              <w:pStyle w:val="60"/>
              <w:ind w:firstLine="360" w:firstLineChars="150"/>
              <w:rPr>
                <w:rFonts w:ascii="Times New Roman" w:hAnsi="Times New Roman" w:eastAsia="仿宋_GB2312" w:cs="Times New Roman"/>
                <w:color w:val="000007"/>
                <w:spacing w:val="-10"/>
                <w:szCs w:val="24"/>
              </w:rPr>
            </w:pPr>
            <w:bookmarkStart w:id="562" w:name="_Toc15469"/>
            <w:bookmarkStart w:id="563" w:name="_Toc28326"/>
            <w:bookmarkStart w:id="564" w:name="_Toc18130"/>
            <w:bookmarkStart w:id="565" w:name="_Toc21013"/>
            <w:bookmarkStart w:id="566" w:name="_Toc8714"/>
            <w:r>
              <w:rPr>
                <w:rFonts w:hint="eastAsia" w:ascii="仿宋_GB2312" w:hAnsi="Times New Roman" w:eastAsia="仿宋_GB2312" w:cs="Times New Roman"/>
              </w:rPr>
              <w:t>◆ 覆盖旗、镇、村三级农村物流网络工程</w:t>
            </w:r>
            <w:bookmarkEnd w:id="562"/>
            <w:bookmarkEnd w:id="563"/>
            <w:bookmarkEnd w:id="564"/>
            <w:bookmarkEnd w:id="565"/>
            <w:bookmarkEnd w:id="566"/>
          </w:p>
        </w:tc>
      </w:tr>
    </w:tbl>
    <w:p w14:paraId="59795B7C">
      <w:pPr>
        <w:pStyle w:val="3"/>
        <w:spacing w:line="600" w:lineRule="exact"/>
        <w:rPr>
          <w:rFonts w:ascii="Times New Roman" w:hAnsi="Times New Roman" w:cs="Times New Roman"/>
          <w:bCs w:val="0"/>
          <w:szCs w:val="32"/>
          <w:shd w:val="clear" w:color="auto" w:fill="FFFFFF"/>
          <w:lang w:val="en-US"/>
        </w:rPr>
      </w:pPr>
      <w:bookmarkStart w:id="567" w:name="_Toc21103"/>
      <w:bookmarkStart w:id="568" w:name="_Toc11969"/>
      <w:bookmarkStart w:id="569" w:name="_Toc534"/>
      <w:bookmarkStart w:id="570" w:name="_Toc28074"/>
      <w:bookmarkStart w:id="571" w:name="_Toc3603"/>
      <w:bookmarkStart w:id="572" w:name="_Toc29938"/>
      <w:bookmarkStart w:id="573" w:name="_Toc1263466573"/>
      <w:r>
        <w:rPr>
          <w:rFonts w:ascii="Times New Roman" w:hAnsi="Times New Roman" w:cs="Times New Roman"/>
          <w:bCs w:val="0"/>
          <w:szCs w:val="32"/>
          <w:shd w:val="clear" w:color="auto" w:fill="FFFFFF"/>
          <w:lang w:val="en-US"/>
        </w:rPr>
        <w:t>第七章  优化国土空间布局，</w:t>
      </w:r>
      <w:bookmarkEnd w:id="567"/>
      <w:bookmarkEnd w:id="568"/>
      <w:bookmarkEnd w:id="569"/>
      <w:bookmarkEnd w:id="570"/>
      <w:bookmarkEnd w:id="571"/>
      <w:bookmarkStart w:id="574" w:name="_Toc59098784"/>
      <w:r>
        <w:rPr>
          <w:rFonts w:ascii="Times New Roman" w:hAnsi="Times New Roman" w:cs="Times New Roman"/>
          <w:bCs w:val="0"/>
          <w:szCs w:val="32"/>
          <w:shd w:val="clear" w:color="auto" w:fill="FFFFFF"/>
          <w:lang w:val="en-US"/>
        </w:rPr>
        <w:t>建设魅力多彩达拉特</w:t>
      </w:r>
      <w:bookmarkEnd w:id="572"/>
      <w:bookmarkEnd w:id="573"/>
    </w:p>
    <w:p w14:paraId="42D49C2C">
      <w:pPr>
        <w:spacing w:line="600" w:lineRule="exact"/>
        <w:ind w:firstLine="640"/>
        <w:rPr>
          <w:rFonts w:ascii="仿宋_GB2312" w:hAnsi="仿宋_GB2312" w:eastAsia="仿宋_GB2312" w:cs="仿宋_GB2312"/>
          <w:szCs w:val="32"/>
        </w:rPr>
      </w:pPr>
      <w:bookmarkStart w:id="575" w:name="_Toc20422"/>
      <w:bookmarkStart w:id="576" w:name="_Toc6561"/>
      <w:bookmarkStart w:id="577" w:name="_Toc25351"/>
      <w:bookmarkStart w:id="578" w:name="_Toc8283"/>
      <w:bookmarkStart w:id="579" w:name="_Toc23619"/>
      <w:r>
        <w:rPr>
          <w:rFonts w:hint="eastAsia" w:ascii="仿宋_GB2312" w:hAnsi="仿宋_GB2312" w:eastAsia="仿宋_GB2312" w:cs="仿宋_GB2312"/>
          <w:szCs w:val="32"/>
        </w:rPr>
        <w:t>积极融入呼包鄂榆城市群建设，按照我市“全面保护、沿线（边）发展、点状开发”的空间导向，坚持以人民为中心、公平共享的原则，加快推进城市集聚区、农产品主产区、生态功能区三大空间构建，形成主体功能明显、优势互补、高质量发展的国土空间开发和城乡协调发展新格局。</w:t>
      </w:r>
      <w:bookmarkEnd w:id="575"/>
      <w:bookmarkEnd w:id="576"/>
      <w:bookmarkEnd w:id="577"/>
      <w:bookmarkEnd w:id="578"/>
      <w:bookmarkEnd w:id="579"/>
    </w:p>
    <w:p w14:paraId="76937925">
      <w:pPr>
        <w:pStyle w:val="4"/>
        <w:spacing w:line="600" w:lineRule="exact"/>
        <w:rPr>
          <w:rFonts w:ascii="楷体_GB2312" w:hAnsi="楷体_GB2312" w:eastAsia="楷体_GB2312" w:cs="楷体_GB2312"/>
          <w:color w:val="000007"/>
        </w:rPr>
      </w:pPr>
      <w:bookmarkStart w:id="580" w:name="_Toc6051"/>
      <w:bookmarkStart w:id="581" w:name="_Toc6616"/>
      <w:bookmarkStart w:id="582" w:name="_Toc459"/>
      <w:bookmarkStart w:id="583" w:name="_Toc6842"/>
      <w:bookmarkStart w:id="584" w:name="_Toc7052"/>
      <w:bookmarkStart w:id="585" w:name="_Toc764390875"/>
      <w:bookmarkStart w:id="586" w:name="_Toc30595"/>
      <w:r>
        <w:rPr>
          <w:rFonts w:hint="eastAsia" w:ascii="楷体_GB2312" w:hAnsi="楷体_GB2312" w:eastAsia="楷体_GB2312" w:cs="楷体_GB2312"/>
        </w:rPr>
        <w:t xml:space="preserve">第一节 </w:t>
      </w:r>
      <w:bookmarkEnd w:id="574"/>
      <w:r>
        <w:rPr>
          <w:rFonts w:hint="eastAsia" w:ascii="楷体_GB2312" w:hAnsi="楷体_GB2312" w:eastAsia="楷体_GB2312" w:cs="楷体_GB2312"/>
        </w:rPr>
        <w:t xml:space="preserve"> 促进发展与保护协同，有序开发国土空间</w:t>
      </w:r>
      <w:bookmarkEnd w:id="580"/>
      <w:bookmarkEnd w:id="581"/>
      <w:bookmarkEnd w:id="582"/>
      <w:bookmarkEnd w:id="583"/>
      <w:bookmarkEnd w:id="584"/>
      <w:bookmarkEnd w:id="585"/>
      <w:bookmarkEnd w:id="586"/>
    </w:p>
    <w:p w14:paraId="67D3F2CA">
      <w:pPr>
        <w:spacing w:line="600" w:lineRule="exact"/>
        <w:ind w:firstLine="640"/>
        <w:rPr>
          <w:rFonts w:ascii="Times New Roman" w:hAnsi="Times New Roman" w:eastAsia="仿宋_GB2312" w:cs="Times New Roman"/>
          <w:szCs w:val="32"/>
        </w:rPr>
      </w:pPr>
      <w:bookmarkStart w:id="587" w:name="_Toc18638"/>
      <w:bookmarkStart w:id="588" w:name="_Toc15852"/>
      <w:bookmarkStart w:id="589" w:name="_Toc19613"/>
      <w:bookmarkStart w:id="590" w:name="_Toc23116"/>
      <w:bookmarkStart w:id="591" w:name="_Toc32599"/>
      <w:r>
        <w:rPr>
          <w:rFonts w:hint="eastAsia" w:ascii="仿宋_GB2312" w:hAnsi="仿宋_GB2312" w:eastAsia="仿宋_GB2312" w:cs="仿宋_GB2312"/>
          <w:szCs w:val="32"/>
        </w:rPr>
        <w:t>立足保护资源、全域整治、品质利用，统筹山水林田湖草沙整体保护、系统修复、综合治理、高效开发，科学布局生态、农业、城镇“三区三线”空间结构，形成</w:t>
      </w:r>
      <w:bookmarkEnd w:id="587"/>
      <w:bookmarkEnd w:id="588"/>
      <w:bookmarkEnd w:id="589"/>
      <w:bookmarkEnd w:id="590"/>
      <w:bookmarkEnd w:id="591"/>
      <w:r>
        <w:rPr>
          <w:rFonts w:hint="eastAsia" w:ascii="仿宋_GB2312" w:hAnsi="仿宋_GB2312" w:eastAsia="仿宋_GB2312" w:cs="仿宋_GB2312"/>
          <w:szCs w:val="32"/>
        </w:rPr>
        <w:t>“一核引领、三带协同、四区共兴、多节点支撑”的总体发展新格局。</w:t>
      </w:r>
    </w:p>
    <w:p w14:paraId="410C7C40">
      <w:pPr>
        <w:spacing w:line="600" w:lineRule="exact"/>
        <w:ind w:firstLine="643"/>
        <w:rPr>
          <w:rFonts w:ascii="仿宋_GB2312" w:hAnsi="仿宋_GB2312" w:eastAsia="仿宋_GB2312" w:cs="仿宋_GB2312"/>
        </w:rPr>
      </w:pPr>
      <w:r>
        <w:rPr>
          <w:rStyle w:val="34"/>
          <w:rFonts w:hint="eastAsia" w:ascii="楷体_GB2312" w:hAnsi="楷体_GB2312" w:eastAsia="楷体_GB2312" w:cs="楷体_GB2312"/>
        </w:rPr>
        <w:t>高质量构建国土空间规划体系</w:t>
      </w:r>
      <w:r>
        <w:rPr>
          <w:rFonts w:hint="eastAsia" w:ascii="楷体_GB2312" w:hAnsi="楷体_GB2312" w:eastAsia="楷体_GB2312" w:cs="楷体_GB2312"/>
          <w:b/>
          <w:bCs/>
        </w:rPr>
        <w:t>。</w:t>
      </w:r>
      <w:r>
        <w:rPr>
          <w:rFonts w:hint="eastAsia" w:ascii="仿宋_GB2312" w:hAnsi="仿宋_GB2312" w:eastAsia="仿宋_GB2312" w:cs="仿宋_GB2312"/>
          <w:szCs w:val="32"/>
        </w:rPr>
        <w:t>着眼推进生态文明建设和完善国土空间开发保护，立足我旗自然资源禀赋和区位条件，结合沿黄特色新型城镇化发展和生态环境保护要求，彻底打破地域、人文等局限，重新构建国土空间规划体系，提升治理能力，推动全旗国土空间开发利用方式向“生态优先、绿色发展”为导向的高质量发展新路子方向转变。夯实基础，摸清家底，将经济社会发展任务落实到空间布局上。强化全局思维，加强统筹协调，形成上下联动、一体化推进工作局面，科学划定生态保护红线、永久基本农田保护线和城市开发边界线，提升规划层次，处理好当前与长远、整体与局部、发展与保护的关系，实现国土空间规划体系支撑经济社会发展与生态保护的协同平衡。</w:t>
      </w:r>
    </w:p>
    <w:p w14:paraId="18F20BE5">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全面优化“三生”经济空间结构</w:t>
      </w:r>
      <w:r>
        <w:rPr>
          <w:rFonts w:hint="eastAsia" w:ascii="楷体_GB2312" w:hAnsi="楷体_GB2312" w:eastAsia="楷体_GB2312" w:cs="楷体_GB2312"/>
          <w:b/>
          <w:bCs/>
        </w:rPr>
        <w:t>。</w:t>
      </w:r>
      <w:r>
        <w:rPr>
          <w:rFonts w:hint="eastAsia" w:ascii="仿宋_GB2312" w:hAnsi="仿宋_GB2312" w:eastAsia="仿宋_GB2312" w:cs="仿宋_GB2312"/>
          <w:szCs w:val="32"/>
        </w:rPr>
        <w:t>立足我旗经济社会发展阶段及产业战略，</w:t>
      </w:r>
      <w:r>
        <w:rPr>
          <w:rFonts w:hint="eastAsia" w:ascii="仿宋_GB2312" w:hAnsi="仿宋_GB2312" w:eastAsia="仿宋_GB2312" w:cs="仿宋_GB2312"/>
          <w:szCs w:val="32"/>
          <w:lang w:val="en-US"/>
        </w:rPr>
        <w:t>在中心城区</w:t>
      </w:r>
      <w:r>
        <w:rPr>
          <w:rFonts w:hint="eastAsia" w:ascii="仿宋_GB2312" w:hAnsi="仿宋_GB2312" w:eastAsia="仿宋_GB2312" w:cs="仿宋_GB2312"/>
        </w:rPr>
        <w:t>高效集聚经济和人口，稳妥有序推动工业化、城市化开发。</w:t>
      </w:r>
      <w:r>
        <w:rPr>
          <w:rFonts w:hint="eastAsia" w:ascii="仿宋_GB2312" w:hAnsi="仿宋_GB2312" w:eastAsia="仿宋_GB2312" w:cs="仿宋_GB2312"/>
          <w:szCs w:val="32"/>
        </w:rPr>
        <w:t>按照新型城镇化快速发展、新旧动能加速转换的要求，适度超前布局与人口配置协同推进的产业升级空间，形成优势互补、高质量发展的区域经济协同推进空间格局。按照打造“10分钟生活圈”、“1小时都市圈”的要求，做好人口向中心城区、中心镇合理流动与高效集聚的生活空间预留，系统完善基本公共服务网络，提升城镇体系和乡村体系规划设计水平，增强城镇化溢出效应。</w:t>
      </w:r>
      <w:r>
        <w:rPr>
          <w:rFonts w:hint="eastAsia" w:ascii="仿宋_GB2312" w:hAnsi="仿宋_GB2312" w:eastAsia="仿宋_GB2312" w:cs="仿宋_GB2312"/>
        </w:rPr>
        <w:t>推进生态功能区人口有序转移，</w:t>
      </w:r>
      <w:r>
        <w:rPr>
          <w:rFonts w:hint="eastAsia" w:ascii="仿宋_GB2312" w:hAnsi="仿宋_GB2312" w:eastAsia="仿宋_GB2312" w:cs="仿宋_GB2312"/>
          <w:szCs w:val="32"/>
        </w:rPr>
        <w:t>强化“黄河几字弯”生态屏障、水源保护地、生物多样性、水土流失和库布其沙漠治理等生态重要区域的管控，推行“绿色占补平衡”，科学划设和保护具有生态价值的区域，提升黄河堤防、岸线生态功能，升级保护柴登-额林滩草原湿地保护区，大力推进十大孔兑生态治理，加快建设库布其沙漠绿色生态屏障，筑牢生态安全空间。</w:t>
      </w:r>
      <w:r>
        <w:rPr>
          <w:rFonts w:hint="eastAsia" w:ascii="仿宋_GB2312" w:hAnsi="仿宋_GB2312" w:eastAsia="仿宋_GB2312" w:cs="仿宋_GB2312"/>
          <w:szCs w:val="32"/>
          <w:lang w:val="en-US"/>
        </w:rPr>
        <w:t>加强</w:t>
      </w:r>
      <w:r>
        <w:rPr>
          <w:rFonts w:hint="eastAsia" w:ascii="仿宋_GB2312" w:hAnsi="仿宋_GB2312" w:eastAsia="仿宋_GB2312" w:cs="仿宋_GB2312"/>
          <w:szCs w:val="32"/>
        </w:rPr>
        <w:t>无公害蔬菜、农产品深加工、</w:t>
      </w:r>
      <w:r>
        <w:rPr>
          <w:rFonts w:hint="eastAsia" w:ascii="仿宋_GB2312" w:hAnsi="仿宋_GB2312" w:eastAsia="仿宋_GB2312" w:cs="仿宋_GB2312"/>
          <w:szCs w:val="32"/>
          <w:lang w:val="en-US"/>
        </w:rPr>
        <w:t>生态旅游等生态产品开发</w:t>
      </w:r>
      <w:r>
        <w:rPr>
          <w:rFonts w:hint="eastAsia" w:ascii="仿宋_GB2312" w:hAnsi="仿宋_GB2312" w:eastAsia="仿宋_GB2312" w:cs="仿宋_GB2312"/>
          <w:szCs w:val="32"/>
        </w:rPr>
        <w:t>，推动</w:t>
      </w:r>
      <w:r>
        <w:rPr>
          <w:rFonts w:hint="eastAsia" w:ascii="仿宋_GB2312" w:hAnsi="仿宋_GB2312" w:eastAsia="仿宋_GB2312" w:cs="仿宋_GB2312"/>
          <w:szCs w:val="32"/>
          <w:lang w:val="en-US"/>
        </w:rPr>
        <w:t>生态经济加快发展</w:t>
      </w:r>
      <w:r>
        <w:rPr>
          <w:rFonts w:hint="eastAsia" w:ascii="仿宋_GB2312" w:hAnsi="仿宋_GB2312" w:eastAsia="仿宋_GB2312" w:cs="仿宋_GB2312"/>
          <w:szCs w:val="32"/>
        </w:rPr>
        <w:t>。</w:t>
      </w:r>
    </w:p>
    <w:p w14:paraId="5505E24D">
      <w:pPr>
        <w:spacing w:line="600" w:lineRule="exact"/>
        <w:ind w:firstLine="643"/>
      </w:pPr>
      <w:r>
        <w:rPr>
          <w:rStyle w:val="34"/>
          <w:rFonts w:hint="eastAsia" w:ascii="楷体_GB2312" w:hAnsi="楷体_GB2312" w:eastAsia="楷体_GB2312" w:cs="楷体_GB2312"/>
        </w:rPr>
        <w:t>持续优化城乡融合发展空间格局</w:t>
      </w:r>
      <w:r>
        <w:rPr>
          <w:rFonts w:hint="eastAsia" w:ascii="楷体_GB2312" w:hAnsi="楷体_GB2312" w:eastAsia="楷体_GB2312" w:cs="楷体_GB2312"/>
          <w:b/>
          <w:bCs/>
        </w:rPr>
        <w:t>。</w:t>
      </w:r>
      <w:r>
        <w:rPr>
          <w:rFonts w:hint="eastAsia" w:ascii="仿宋_GB2312" w:hAnsi="仿宋_GB2312" w:eastAsia="仿宋_GB2312" w:cs="仿宋_GB2312"/>
          <w:szCs w:val="32"/>
        </w:rPr>
        <w:t>坚持城乡空间结构一体塑造，构建以中心城区为核心、中心镇为支撑、村庄为基础、农村新型社区为单元的新型城镇化发展格局。加强规划引领，高质量编制城乡发展总体规划，完善村镇特色风貌等专项规划，对中心镇、村庄等功能定位、主导产业选择、发展规模、用地布局和建设项目进行前瞻性安排，引领乡村科学发展。优化城乡空间结构，突出中心城区综合承载功能，集中打造白泥井、展旦召2个中心镇，构建“一城两翼”新型城镇化主体格局。深化土地、户籍、住房、教育、社保等制度改革，落实普惠性、兜底性、基础性民生保障制度，推动公共服务均等化，破除城乡二元结构特征，以产业集聚提升中心镇就近吸纳就业能力，促进农村劳动力转移与工业化、城镇化同步推进。创新土地指标交易等市场化机制，探索城乡建设用地增减挂钩，加强城乡低效用地再开发，优化城乡用地布局，缩小城乡差距。积极推动土地抵押权改革试点，稳定土地承包权，放活经营权，发展适度规模经营，大力发展村级集体经济，提升联农带农能力。</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21FA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32" w:hRule="atLeast"/>
        </w:trPr>
        <w:tc>
          <w:tcPr>
            <w:tcW w:w="9064" w:type="dxa"/>
            <w:shd w:val="clear" w:color="auto" w:fill="FDE9D9" w:themeFill="accent6" w:themeFillShade="D9" w:themeFillTint="33"/>
            <w:vAlign w:val="center"/>
          </w:tcPr>
          <w:p w14:paraId="7EA0278F">
            <w:pPr>
              <w:pStyle w:val="10"/>
              <w:spacing w:line="240" w:lineRule="auto"/>
              <w:ind w:left="0" w:firstLine="562"/>
              <w:jc w:val="center"/>
              <w:rPr>
                <w:rStyle w:val="49"/>
                <w:rFonts w:ascii="Times New Roman" w:hAnsi="Times New Roman" w:eastAsia="仿宋_GB2312" w:cs="Times New Roman"/>
                <w:b/>
                <w:sz w:val="30"/>
                <w:szCs w:val="30"/>
              </w:rPr>
            </w:pPr>
            <w:r>
              <w:rPr>
                <w:rFonts w:ascii="Times New Roman" w:hAnsi="Times New Roman" w:eastAsia="仿宋_GB2312" w:cs="Times New Roman"/>
                <w:b/>
                <w:bCs/>
              </w:rPr>
              <w:t>专栏9：“一核、三带、四区、多节点”</w:t>
            </w:r>
          </w:p>
        </w:tc>
      </w:tr>
      <w:tr w14:paraId="40D4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9064" w:type="dxa"/>
            <w:shd w:val="clear" w:color="auto" w:fill="D8D8D8" w:themeFill="background1" w:themeFillShade="D9"/>
          </w:tcPr>
          <w:p w14:paraId="68E37979">
            <w:pPr>
              <w:pStyle w:val="10"/>
              <w:spacing w:line="360" w:lineRule="auto"/>
              <w:ind w:left="0" w:firstLine="440"/>
              <w:rPr>
                <w:rFonts w:ascii="仿宋_GB2312" w:hAnsi="Times New Roman" w:eastAsia="仿宋_GB2312" w:cs="Times New Roman"/>
                <w:sz w:val="24"/>
                <w:szCs w:val="24"/>
              </w:rPr>
            </w:pPr>
            <w:r>
              <w:rPr>
                <w:rFonts w:hint="eastAsia" w:ascii="仿宋_GB2312" w:hAnsi="Times New Roman" w:eastAsia="仿宋_GB2312" w:cs="Times New Roman"/>
                <w:color w:val="000007"/>
                <w:spacing w:val="-10"/>
                <w:sz w:val="24"/>
                <w:szCs w:val="24"/>
              </w:rPr>
              <w:t>◆ 一</w:t>
            </w:r>
            <w:r>
              <w:rPr>
                <w:rStyle w:val="49"/>
                <w:rFonts w:hint="eastAsia" w:ascii="仿宋_GB2312" w:hAnsi="Times New Roman" w:eastAsia="仿宋_GB2312" w:cs="Times New Roman"/>
                <w:szCs w:val="24"/>
              </w:rPr>
              <w:t>核：</w:t>
            </w:r>
            <w:r>
              <w:rPr>
                <w:rFonts w:hint="eastAsia" w:ascii="仿宋_GB2312" w:hAnsi="Times New Roman" w:eastAsia="仿宋_GB2312" w:cs="Times New Roman"/>
                <w:b/>
                <w:sz w:val="24"/>
                <w:szCs w:val="24"/>
              </w:rPr>
              <w:t>都市生活核心圈：</w:t>
            </w:r>
            <w:r>
              <w:rPr>
                <w:rFonts w:hint="eastAsia" w:ascii="仿宋_GB2312" w:hAnsi="Times New Roman" w:eastAsia="仿宋_GB2312" w:cs="Times New Roman"/>
                <w:sz w:val="24"/>
                <w:szCs w:val="24"/>
              </w:rPr>
              <w:t>行政办公、经济文化、社会服务业集聚的中心城区。包含五个卫星功能区：西部博远粮食仓储物流中心、北部林原农副产品（轻工）物流园区、东部毛连圪卜城区防涝承泄湿地公园、南部尚华国际综合物流园区和城郊马兰湖文创+康养+研学教育园区。</w:t>
            </w:r>
          </w:p>
          <w:p w14:paraId="51EA3D15">
            <w:pPr>
              <w:pStyle w:val="10"/>
              <w:spacing w:line="360" w:lineRule="auto"/>
              <w:ind w:left="0" w:firstLine="440"/>
              <w:rPr>
                <w:rFonts w:ascii="仿宋_GB2312" w:hAnsi="Times New Roman" w:eastAsia="仿宋_GB2312" w:cs="Times New Roman"/>
                <w:b/>
                <w:sz w:val="24"/>
                <w:szCs w:val="24"/>
              </w:rPr>
            </w:pPr>
            <w:r>
              <w:rPr>
                <w:rFonts w:hint="eastAsia" w:ascii="仿宋_GB2312" w:hAnsi="Times New Roman" w:eastAsia="仿宋_GB2312" w:cs="Times New Roman"/>
                <w:color w:val="000007"/>
                <w:spacing w:val="-10"/>
                <w:sz w:val="24"/>
                <w:szCs w:val="24"/>
              </w:rPr>
              <w:t xml:space="preserve">◆ </w:t>
            </w:r>
            <w:r>
              <w:rPr>
                <w:rFonts w:hint="eastAsia" w:ascii="仿宋_GB2312" w:hAnsi="Times New Roman" w:eastAsia="仿宋_GB2312" w:cs="Times New Roman"/>
                <w:b/>
                <w:sz w:val="24"/>
                <w:szCs w:val="24"/>
              </w:rPr>
              <w:t>三带：</w:t>
            </w:r>
            <w:r>
              <w:rPr>
                <w:rFonts w:hint="eastAsia" w:ascii="仿宋_GB2312" w:hAnsi="Times New Roman" w:eastAsia="仿宋_GB2312" w:cs="Times New Roman"/>
                <w:color w:val="000000"/>
                <w:sz w:val="24"/>
                <w:szCs w:val="24"/>
              </w:rPr>
              <w:t>在北部沿黄冲积平原打造一条集现代农牧业、农副产品深加工工业、绿色农副产品输出、观光农渔业、沿河生态休闲为主的</w:t>
            </w:r>
            <w:r>
              <w:rPr>
                <w:rFonts w:hint="eastAsia" w:ascii="仿宋_GB2312" w:hAnsi="Times New Roman" w:eastAsia="仿宋_GB2312" w:cs="Times New Roman"/>
                <w:b/>
                <w:color w:val="000000"/>
                <w:sz w:val="24"/>
                <w:szCs w:val="24"/>
              </w:rPr>
              <w:t>沿黄生态经济带</w:t>
            </w:r>
            <w:r>
              <w:rPr>
                <w:rFonts w:hint="eastAsia" w:ascii="仿宋_GB2312" w:hAnsi="Times New Roman" w:eastAsia="仿宋_GB2312" w:cs="Times New Roman"/>
                <w:color w:val="000000"/>
                <w:sz w:val="24"/>
                <w:szCs w:val="24"/>
              </w:rPr>
              <w:t>。在中部沿库布其沙漠打造一条集沙漠旅游、生态治理、清洁能源、生产性物流为主的</w:t>
            </w:r>
            <w:r>
              <w:rPr>
                <w:rFonts w:hint="eastAsia" w:ascii="仿宋_GB2312" w:hAnsi="Times New Roman" w:eastAsia="仿宋_GB2312" w:cs="Times New Roman"/>
                <w:b/>
                <w:color w:val="000000"/>
                <w:sz w:val="24"/>
                <w:szCs w:val="24"/>
              </w:rPr>
              <w:t>产业融合发展示范带</w:t>
            </w:r>
            <w:r>
              <w:rPr>
                <w:rFonts w:hint="eastAsia" w:ascii="仿宋_GB2312" w:hAnsi="Times New Roman" w:eastAsia="仿宋_GB2312" w:cs="Times New Roman"/>
                <w:color w:val="000000"/>
                <w:sz w:val="24"/>
                <w:szCs w:val="24"/>
              </w:rPr>
              <w:t>。在南部丘陵矿区打造一条集能源开发、</w:t>
            </w:r>
            <w:r>
              <w:rPr>
                <w:rFonts w:hint="eastAsia" w:ascii="仿宋_GB2312" w:hAnsi="Times New Roman" w:eastAsia="仿宋_GB2312" w:cs="Times New Roman"/>
                <w:sz w:val="24"/>
                <w:szCs w:val="24"/>
              </w:rPr>
              <w:t>资源综合利用、特色种养殖、生态修复为主的</w:t>
            </w:r>
            <w:r>
              <w:rPr>
                <w:rFonts w:hint="eastAsia" w:ascii="仿宋_GB2312" w:hAnsi="Times New Roman" w:eastAsia="仿宋_GB2312" w:cs="Times New Roman"/>
                <w:b/>
                <w:sz w:val="24"/>
                <w:szCs w:val="24"/>
              </w:rPr>
              <w:t>绿色能源产业发展带。</w:t>
            </w:r>
          </w:p>
          <w:p w14:paraId="4EEA62F6">
            <w:pPr>
              <w:pStyle w:val="10"/>
              <w:spacing w:line="360" w:lineRule="auto"/>
              <w:ind w:left="0" w:firstLine="440"/>
              <w:rPr>
                <w:rStyle w:val="49"/>
                <w:rFonts w:ascii="仿宋_GB2312" w:hAnsi="Times New Roman" w:eastAsia="仿宋_GB2312" w:cs="Times New Roman"/>
                <w:szCs w:val="24"/>
              </w:rPr>
            </w:pPr>
            <w:r>
              <w:rPr>
                <w:rFonts w:hint="eastAsia" w:ascii="仿宋_GB2312" w:hAnsi="Times New Roman" w:eastAsia="仿宋_GB2312" w:cs="Times New Roman"/>
                <w:color w:val="000007"/>
                <w:spacing w:val="-10"/>
                <w:sz w:val="24"/>
                <w:szCs w:val="24"/>
              </w:rPr>
              <w:t xml:space="preserve">◆ </w:t>
            </w:r>
            <w:r>
              <w:rPr>
                <w:rFonts w:hint="eastAsia" w:ascii="仿宋_GB2312" w:hAnsi="Times New Roman" w:eastAsia="仿宋_GB2312" w:cs="Times New Roman"/>
                <w:b/>
                <w:color w:val="000007"/>
                <w:spacing w:val="-10"/>
                <w:sz w:val="24"/>
                <w:szCs w:val="24"/>
              </w:rPr>
              <w:t>四</w:t>
            </w:r>
            <w:r>
              <w:rPr>
                <w:rStyle w:val="49"/>
                <w:rFonts w:hint="eastAsia" w:ascii="仿宋_GB2312" w:hAnsi="Times New Roman" w:eastAsia="仿宋_GB2312" w:cs="Times New Roman"/>
                <w:szCs w:val="24"/>
              </w:rPr>
              <w:t>区：达拉特经济开发区（包括三晌梁工业园区、风水梁综合物流园区、库布其清洁能源示范区）、白泥井科技农业示范区、恩格贝生态科技产业园区、昭君黄河湿地保护与开发利用示范区。</w:t>
            </w:r>
          </w:p>
          <w:p w14:paraId="487E8E23">
            <w:pPr>
              <w:pStyle w:val="10"/>
              <w:spacing w:line="360" w:lineRule="auto"/>
              <w:ind w:left="0" w:firstLine="440"/>
              <w:rPr>
                <w:rStyle w:val="49"/>
                <w:rFonts w:ascii="Times New Roman" w:hAnsi="Times New Roman" w:eastAsia="仿宋_GB2312" w:cs="Times New Roman"/>
                <w:b/>
                <w:sz w:val="30"/>
                <w:szCs w:val="30"/>
              </w:rPr>
            </w:pPr>
            <w:r>
              <w:rPr>
                <w:rFonts w:hint="eastAsia" w:ascii="仿宋_GB2312" w:hAnsi="Times New Roman" w:eastAsia="仿宋_GB2312" w:cs="Times New Roman"/>
                <w:color w:val="000007"/>
                <w:spacing w:val="-10"/>
                <w:sz w:val="24"/>
                <w:szCs w:val="24"/>
              </w:rPr>
              <w:t xml:space="preserve">◆ </w:t>
            </w:r>
            <w:r>
              <w:rPr>
                <w:rStyle w:val="49"/>
                <w:rFonts w:hint="eastAsia" w:ascii="仿宋_GB2312" w:hAnsi="Times New Roman" w:eastAsia="仿宋_GB2312" w:cs="Times New Roman"/>
                <w:szCs w:val="24"/>
              </w:rPr>
              <w:t>多节点：依托全旗资源结构、产业集聚、人口和地域分布情况及旗域特色产业发展形势，集中打造耳字豪、敖包梁、王爱召、展旦召、大树湾、高头窑、吉格斯太、盐店、中和西、恩格贝镇等特色小品种植业基地，形成主业突出、优势分明、特色显著、全境同兴的发展局面。</w:t>
            </w:r>
          </w:p>
        </w:tc>
      </w:tr>
    </w:tbl>
    <w:p w14:paraId="57D8388E">
      <w:pPr>
        <w:pStyle w:val="4"/>
        <w:spacing w:line="600" w:lineRule="exact"/>
        <w:rPr>
          <w:rFonts w:ascii="楷体_GB2312" w:hAnsi="楷体_GB2312" w:eastAsia="楷体_GB2312" w:cs="楷体_GB2312"/>
          <w:lang w:val="en-US"/>
        </w:rPr>
      </w:pPr>
      <w:bookmarkStart w:id="592" w:name="_Toc7850"/>
      <w:bookmarkStart w:id="593" w:name="_Toc870259771"/>
      <w:bookmarkStart w:id="594" w:name="_Toc10018"/>
      <w:r>
        <w:rPr>
          <w:rFonts w:hint="eastAsia" w:ascii="楷体_GB2312" w:hAnsi="楷体_GB2312" w:eastAsia="楷体_GB2312" w:cs="楷体_GB2312"/>
        </w:rPr>
        <w:t xml:space="preserve">第二节 </w:t>
      </w:r>
      <w:r>
        <w:rPr>
          <w:rFonts w:hint="eastAsia" w:ascii="楷体_GB2312" w:hAnsi="楷体_GB2312" w:eastAsia="楷体_GB2312" w:cs="楷体_GB2312"/>
          <w:lang w:val="en-US"/>
        </w:rPr>
        <w:t>加强</w:t>
      </w:r>
      <w:r>
        <w:rPr>
          <w:rFonts w:hint="eastAsia" w:ascii="楷体_GB2312" w:hAnsi="楷体_GB2312" w:eastAsia="楷体_GB2312" w:cs="楷体_GB2312"/>
        </w:rPr>
        <w:t>基础</w:t>
      </w:r>
      <w:bookmarkStart w:id="595" w:name="_Toc59098791"/>
      <w:r>
        <w:rPr>
          <w:rFonts w:hint="eastAsia" w:ascii="楷体_GB2312" w:hAnsi="楷体_GB2312" w:eastAsia="楷体_GB2312" w:cs="楷体_GB2312"/>
        </w:rPr>
        <w:t>设施</w:t>
      </w:r>
      <w:bookmarkEnd w:id="592"/>
      <w:r>
        <w:rPr>
          <w:rFonts w:hint="eastAsia" w:ascii="楷体_GB2312" w:hAnsi="楷体_GB2312" w:eastAsia="楷体_GB2312" w:cs="楷体_GB2312"/>
          <w:lang w:val="en-US"/>
        </w:rPr>
        <w:t>建设</w:t>
      </w:r>
      <w:r>
        <w:rPr>
          <w:rFonts w:hint="eastAsia" w:ascii="楷体_GB2312" w:hAnsi="楷体_GB2312" w:eastAsia="楷体_GB2312" w:cs="楷体_GB2312"/>
        </w:rPr>
        <w:t>，</w:t>
      </w:r>
      <w:r>
        <w:rPr>
          <w:rFonts w:hint="eastAsia" w:ascii="楷体_GB2312" w:hAnsi="楷体_GB2312" w:eastAsia="楷体_GB2312" w:cs="楷体_GB2312"/>
          <w:lang w:val="en-US"/>
        </w:rPr>
        <w:t>全面提升空间承载力</w:t>
      </w:r>
      <w:bookmarkEnd w:id="593"/>
      <w:bookmarkEnd w:id="594"/>
    </w:p>
    <w:p w14:paraId="5D4C9A84">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统筹空间地域，突破行政区划界限,坚持适度超前布局，大力整合各类资源，协调推进城乡综合交通、水利、电力、通信等基础设施建设，加快形成同城效应和整体优势，</w:t>
      </w:r>
      <w:bookmarkEnd w:id="595"/>
      <w:r>
        <w:rPr>
          <w:rFonts w:hint="eastAsia" w:ascii="仿宋_GB2312" w:hAnsi="仿宋_GB2312" w:eastAsia="仿宋_GB2312" w:cs="仿宋_GB2312"/>
          <w:szCs w:val="32"/>
        </w:rPr>
        <w:t>拓展城与乡发展空间，增强地区综合承载能力，再造支撑和引领全旗发展的核心增长极。</w:t>
      </w:r>
    </w:p>
    <w:p w14:paraId="02216DB9">
      <w:pPr>
        <w:spacing w:line="600" w:lineRule="exact"/>
        <w:ind w:firstLine="643"/>
        <w:rPr>
          <w:rFonts w:ascii="Times New Roman" w:hAnsi="Times New Roman" w:eastAsia="仿宋_GB2312" w:cs="Times New Roman"/>
          <w:szCs w:val="32"/>
          <w:lang w:val="en-US"/>
        </w:rPr>
      </w:pPr>
      <w:r>
        <w:rPr>
          <w:rStyle w:val="34"/>
          <w:rFonts w:hint="eastAsia" w:ascii="楷体_GB2312" w:hAnsi="楷体_GB2312" w:eastAsia="楷体_GB2312" w:cs="楷体_GB2312"/>
        </w:rPr>
        <w:t>优化提升综合交通网络</w:t>
      </w:r>
      <w:r>
        <w:rPr>
          <w:rFonts w:hint="eastAsia" w:ascii="楷体_GB2312" w:hAnsi="楷体_GB2312" w:eastAsia="楷体_GB2312" w:cs="楷体_GB2312"/>
          <w:b/>
          <w:bCs/>
        </w:rPr>
        <w:t>。</w:t>
      </w:r>
      <w:r>
        <w:rPr>
          <w:rFonts w:hint="eastAsia" w:ascii="仿宋_GB2312" w:hAnsi="仿宋_GB2312" w:eastAsia="仿宋_GB2312" w:cs="仿宋_GB2312"/>
          <w:szCs w:val="32"/>
        </w:rPr>
        <w:t>着力推动交通网架结构补短板、增里程，优化提升公路网、有效畅通铁路网、争取补齐通用航空网，串联各种交通网络之间的“接口”，打通“最后一公里”，推动“路、铁、空”多层次交通基础设施综合化、一体化、智能化发展，构建高品质的综合立体交通体系。围绕“三横五纵”公路网，以提升互联互通</w:t>
      </w:r>
      <w:r>
        <w:rPr>
          <w:rFonts w:hint="eastAsia" w:ascii="仿宋_GB2312" w:hAnsi="仿宋_GB2312" w:eastAsia="仿宋_GB2312" w:cs="仿宋_GB2312"/>
          <w:szCs w:val="32"/>
          <w:lang w:val="en-US"/>
        </w:rPr>
        <w:t>水平</w:t>
      </w:r>
      <w:r>
        <w:rPr>
          <w:rFonts w:hint="eastAsia" w:ascii="仿宋_GB2312" w:hAnsi="仿宋_GB2312" w:eastAsia="仿宋_GB2312" w:cs="仿宋_GB2312"/>
          <w:szCs w:val="32"/>
        </w:rPr>
        <w:t>为重点，加快推进S24昭君互通、G65包树段“四改八”</w:t>
      </w:r>
      <w:r>
        <w:rPr>
          <w:rFonts w:hint="eastAsia" w:ascii="仿宋_GB2312" w:hAnsi="仿宋_GB2312" w:eastAsia="仿宋_GB2312" w:cs="仿宋_GB2312"/>
          <w:szCs w:val="32"/>
          <w:lang w:val="en-US"/>
        </w:rPr>
        <w:t>等国省干线改造</w:t>
      </w:r>
      <w:r>
        <w:rPr>
          <w:rFonts w:hint="eastAsia" w:ascii="仿宋_GB2312" w:hAnsi="仿宋_GB2312" w:eastAsia="仿宋_GB2312" w:cs="仿宋_GB2312"/>
          <w:szCs w:val="32"/>
        </w:rPr>
        <w:t>，新建S224德胜太、S211恩格贝、G210古城弯等黄河特大桥</w:t>
      </w:r>
      <w:r>
        <w:rPr>
          <w:rFonts w:hint="eastAsia" w:ascii="仿宋_GB2312" w:hAnsi="仿宋_GB2312" w:eastAsia="仿宋_GB2312" w:cs="仿宋_GB2312"/>
          <w:szCs w:val="32"/>
          <w:lang w:val="en-US"/>
        </w:rPr>
        <w:t>，畅通外联通道，促进人流、物流融合互动，支撑保障地区经济发展和民生水平提高；持续深化“四好农村路”建设，推动</w:t>
      </w:r>
      <w:r>
        <w:rPr>
          <w:rFonts w:hint="eastAsia" w:ascii="仿宋_GB2312" w:hAnsi="仿宋_GB2312" w:eastAsia="仿宋_GB2312" w:cs="仿宋_GB2312"/>
          <w:szCs w:val="32"/>
        </w:rPr>
        <w:t>X640线解柴线三级改一级，</w:t>
      </w:r>
      <w:r>
        <w:rPr>
          <w:rFonts w:hint="eastAsia" w:ascii="仿宋_GB2312" w:hAnsi="仿宋_GB2312" w:eastAsia="仿宋_GB2312" w:cs="仿宋_GB2312"/>
          <w:szCs w:val="32"/>
          <w:lang w:val="en-US"/>
        </w:rPr>
        <w:t>全面提升产业路、资源路、旅游路覆盖率，有效增强地方公路交通运输能力。完善“一横两纵”铁路网，推动包西、呼准鄂铁路改造，实现高铁列车下线运行，进一步优化通行条件，提升城市影响力；加快推进三晌梁物流园、真金未来粮食物流和高头窑北等智能化铁路专用线建设，实现重点产业片区、主要工矿区和物资集散点与铁路网系统有效联接，提高多式联运效率，疏通微循环，形成集约经营、协调发展的铁路集疏运系统。</w:t>
      </w:r>
      <w:r>
        <w:rPr>
          <w:rFonts w:hint="eastAsia" w:ascii="仿宋_GB2312" w:hAnsi="仿宋_GB2312" w:eastAsia="仿宋_GB2312" w:cs="仿宋_GB2312"/>
          <w:szCs w:val="32"/>
        </w:rPr>
        <w:t>突出“绿色交通”的理念，强化生态环保设计，推动交通与旅游融合建设，重塑绿水青山；积极推进公交枢纽站建设，争取</w:t>
      </w:r>
      <w:r>
        <w:rPr>
          <w:rFonts w:hint="eastAsia" w:ascii="仿宋_GB2312" w:hAnsi="仿宋_GB2312" w:eastAsia="仿宋_GB2312" w:cs="仿宋_GB2312"/>
          <w:szCs w:val="32"/>
          <w:lang w:val="en-US"/>
        </w:rPr>
        <w:t>开通包达两地城际公交，</w:t>
      </w:r>
      <w:r>
        <w:rPr>
          <w:rFonts w:hint="eastAsia" w:ascii="仿宋_GB2312" w:hAnsi="仿宋_GB2312" w:eastAsia="仿宋_GB2312" w:cs="仿宋_GB2312"/>
          <w:szCs w:val="32"/>
        </w:rPr>
        <w:t>提升公共交通综合服务水平；</w:t>
      </w:r>
      <w:r>
        <w:rPr>
          <w:rFonts w:hint="eastAsia" w:ascii="仿宋_GB2312" w:hAnsi="仿宋_GB2312" w:eastAsia="仿宋_GB2312" w:cs="仿宋_GB2312"/>
          <w:szCs w:val="32"/>
          <w:lang w:val="en-US"/>
        </w:rPr>
        <w:t>积极推动达拉特通用机场建设，补足我旗流通体系短板，完善全旗交通运输结构</w:t>
      </w:r>
      <w:r>
        <w:rPr>
          <w:rFonts w:hint="eastAsia" w:ascii="仿宋_GB2312" w:hAnsi="仿宋_GB2312" w:eastAsia="仿宋_GB2312" w:cs="仿宋_GB2312"/>
          <w:szCs w:val="32"/>
        </w:rPr>
        <w:t>。到</w:t>
      </w:r>
      <w:r>
        <w:rPr>
          <w:rFonts w:hint="eastAsia" w:ascii="仿宋_GB2312" w:hAnsi="仿宋_GB2312" w:eastAsia="仿宋_GB2312" w:cs="仿宋_GB2312"/>
          <w:szCs w:val="32"/>
          <w:lang w:val="en-US"/>
        </w:rPr>
        <w:t>2025年，全旗新增公路里程300公里，总里程达到3592公里，公路网密度达到43.9公里/百平方公里，新增铁路里程40公里、年运输能力达到1.3亿吨，互通互联、优质高效、便捷舒适、智慧安全、生态绿色的高品质交通运输体系基本形成。</w:t>
      </w:r>
      <w:bookmarkStart w:id="596" w:name="_bookmark64"/>
      <w:bookmarkEnd w:id="596"/>
      <w:bookmarkStart w:id="597" w:name="_bookmark63"/>
      <w:bookmarkEnd w:id="597"/>
      <w:bookmarkStart w:id="598" w:name="_Toc59098792"/>
    </w:p>
    <w:p w14:paraId="347E47E9">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lang w:val="en-US"/>
        </w:rPr>
        <w:t>改造提升水利基础网络</w:t>
      </w:r>
      <w:r>
        <w:rPr>
          <w:rFonts w:hint="eastAsia" w:ascii="楷体_GB2312" w:hAnsi="楷体_GB2312" w:eastAsia="楷体_GB2312" w:cs="楷体_GB2312"/>
          <w:b/>
          <w:bCs/>
          <w:lang w:val="en-US"/>
        </w:rPr>
        <w:t>。</w:t>
      </w:r>
      <w:r>
        <w:rPr>
          <w:rFonts w:hint="eastAsia" w:ascii="仿宋_GB2312" w:hAnsi="仿宋_GB2312" w:eastAsia="仿宋_GB2312" w:cs="仿宋_GB2312"/>
          <w:szCs w:val="32"/>
        </w:rPr>
        <w:t>以水资源承载能力为刚性约束，强化</w:t>
      </w:r>
      <w:r>
        <w:rPr>
          <w:rFonts w:hint="eastAsia" w:ascii="仿宋_GB2312" w:hAnsi="仿宋_GB2312" w:eastAsia="仿宋_GB2312" w:cs="仿宋_GB2312"/>
          <w:szCs w:val="32"/>
          <w:lang w:val="en-US"/>
        </w:rPr>
        <w:t>水资源消耗总量和强度双控行动，突出节水降耗、节水控需、节流补源，加快补齐水利基础设施短板，推进节水型社会建设，</w:t>
      </w:r>
      <w:r>
        <w:rPr>
          <w:rFonts w:hint="eastAsia" w:ascii="仿宋_GB2312" w:hAnsi="仿宋_GB2312" w:eastAsia="仿宋_GB2312" w:cs="仿宋_GB2312"/>
          <w:szCs w:val="32"/>
        </w:rPr>
        <w:t>为打造“美丽达拉特”提供水安全支撑和保障。</w:t>
      </w:r>
      <w:r>
        <w:rPr>
          <w:rFonts w:hint="eastAsia" w:ascii="仿宋_GB2312" w:hAnsi="仿宋_GB2312" w:eastAsia="仿宋_GB2312" w:cs="仿宋_GB2312"/>
          <w:szCs w:val="32"/>
          <w:lang w:val="en-US"/>
        </w:rPr>
        <w:t>加快</w:t>
      </w:r>
      <w:r>
        <w:rPr>
          <w:rFonts w:hint="eastAsia" w:ascii="仿宋_GB2312" w:hAnsi="仿宋_GB2312" w:eastAsia="仿宋_GB2312" w:cs="仿宋_GB2312"/>
          <w:szCs w:val="32"/>
        </w:rPr>
        <w:t>沿河黄灌区节水配套改造，推进农田水利设施达标提质，推广滴灌、微灌和管道输水灌溉。完善城乡防洪减灾体系，</w:t>
      </w:r>
      <w:r>
        <w:rPr>
          <w:rFonts w:hint="eastAsia" w:ascii="仿宋_GB2312" w:hAnsi="仿宋_GB2312" w:eastAsia="仿宋_GB2312" w:cs="仿宋_GB2312"/>
          <w:szCs w:val="32"/>
          <w:lang w:val="en-US"/>
        </w:rPr>
        <w:t>以骨干防洪工程建设为重</w:t>
      </w:r>
      <w:r>
        <w:rPr>
          <w:rFonts w:hint="eastAsia" w:ascii="仿宋_GB2312" w:hAnsi="仿宋_GB2312" w:eastAsia="仿宋_GB2312" w:cs="仿宋_GB2312"/>
          <w:szCs w:val="32"/>
        </w:rPr>
        <w:t>点，连通水系、优化调度，形成行洪安全与洪水资源化有机结合的防洪减灾格局；</w:t>
      </w:r>
      <w:r>
        <w:rPr>
          <w:rFonts w:hint="eastAsia" w:ascii="仿宋_GB2312" w:hAnsi="仿宋_GB2312" w:eastAsia="仿宋_GB2312" w:cs="仿宋_GB2312"/>
          <w:szCs w:val="32"/>
          <w:lang w:val="en-US"/>
        </w:rPr>
        <w:t>持</w:t>
      </w:r>
      <w:r>
        <w:rPr>
          <w:rFonts w:hint="eastAsia" w:ascii="仿宋_GB2312" w:hAnsi="仿宋_GB2312" w:eastAsia="仿宋_GB2312" w:cs="仿宋_GB2312"/>
          <w:szCs w:val="32"/>
        </w:rPr>
        <w:t>续实施中小河流、病险水库水闸、淤地坝除险加固等骨干河道治理工程，完善蓄滞洪区建设，构建防洪工程体系；</w:t>
      </w:r>
      <w:r>
        <w:rPr>
          <w:rFonts w:hint="eastAsia" w:ascii="仿宋_GB2312" w:hAnsi="仿宋_GB2312" w:eastAsia="仿宋_GB2312" w:cs="仿宋_GB2312"/>
          <w:szCs w:val="32"/>
          <w:lang w:val="en-US"/>
        </w:rPr>
        <w:t>启动实施黄河三期防洪工程，进一步消除堤防安全隐患。</w:t>
      </w:r>
      <w:r>
        <w:rPr>
          <w:rFonts w:hint="eastAsia" w:ascii="仿宋_GB2312" w:hAnsi="仿宋_GB2312" w:eastAsia="仿宋_GB2312" w:cs="仿宋_GB2312"/>
          <w:szCs w:val="32"/>
        </w:rPr>
        <w:t>加快农村供水设施提档升级，实施农村牧区饮水安全巩固提升工程和贫困户饮水水质检测，力争到2025年农村自来水普及率达90%以上，农村供水规模化率达到42.1%以上，逐步实现城乡供水一体化。</w:t>
      </w:r>
      <w:r>
        <w:rPr>
          <w:rFonts w:hint="eastAsia" w:ascii="仿宋_GB2312" w:hAnsi="仿宋_GB2312" w:eastAsia="仿宋_GB2312" w:cs="仿宋_GB2312"/>
          <w:szCs w:val="32"/>
          <w:lang w:val="en-US"/>
        </w:rPr>
        <w:t>加强水源地监管保护，改造城区老旧管网，提升供水质量。抓好非常规水资源开发利用，鼓励社会资本开展煤矿疏干水回收净化综合利用，推动高头窑至光伏基地供水管线向城区延伸。</w:t>
      </w:r>
      <w:r>
        <w:rPr>
          <w:rFonts w:hint="eastAsia" w:ascii="仿宋_GB2312" w:hAnsi="仿宋_GB2312" w:eastAsia="仿宋_GB2312" w:cs="仿宋_GB2312"/>
          <w:szCs w:val="32"/>
        </w:rPr>
        <w:t>着力解决禁止开发区、限制开发区内人畜饮水安全问题。</w:t>
      </w:r>
      <w:r>
        <w:rPr>
          <w:rFonts w:hint="eastAsia" w:ascii="仿宋_GB2312" w:hAnsi="仿宋_GB2312" w:eastAsia="仿宋_GB2312" w:cs="仿宋_GB2312"/>
          <w:szCs w:val="32"/>
          <w:lang w:val="en-US"/>
        </w:rPr>
        <w:t>实施智慧</w:t>
      </w:r>
      <w:r>
        <w:rPr>
          <w:rFonts w:hint="eastAsia" w:ascii="仿宋_GB2312" w:hAnsi="仿宋_GB2312" w:eastAsia="仿宋_GB2312" w:cs="仿宋_GB2312"/>
          <w:szCs w:val="32"/>
        </w:rPr>
        <w:t>水利</w:t>
      </w:r>
      <w:r>
        <w:rPr>
          <w:rFonts w:hint="eastAsia" w:ascii="仿宋_GB2312" w:hAnsi="仿宋_GB2312" w:eastAsia="仿宋_GB2312" w:cs="仿宋_GB2312"/>
          <w:szCs w:val="32"/>
          <w:lang w:val="en-US"/>
        </w:rPr>
        <w:t>建设工程，</w:t>
      </w:r>
      <w:r>
        <w:rPr>
          <w:rFonts w:hint="eastAsia" w:ascii="仿宋_GB2312" w:hAnsi="仿宋_GB2312" w:eastAsia="仿宋_GB2312" w:cs="仿宋_GB2312"/>
          <w:szCs w:val="32"/>
        </w:rPr>
        <w:t>加强水资源监控管理系统、水库大坝安全监测监督平台、洪水灾害监测预警系统、水土保持动态监测系统、水利信息网络安全建设，提升监测、监视、监控覆盖率和精准度，整合提升各类应用系统，建立完善智慧水利平台，充分运用大数据整合水利信息资源，全面提升新时代水治理体系和水治理能力的现代化水平。</w:t>
      </w:r>
      <w:bookmarkEnd w:id="598"/>
    </w:p>
    <w:p w14:paraId="7DE21A86">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整合提升能源设施网络</w:t>
      </w:r>
      <w:r>
        <w:rPr>
          <w:rFonts w:hint="eastAsia" w:ascii="楷体_GB2312" w:hAnsi="楷体_GB2312" w:eastAsia="楷体_GB2312" w:cs="楷体_GB2312"/>
          <w:b/>
          <w:bCs/>
        </w:rPr>
        <w:t>。</w:t>
      </w:r>
      <w:r>
        <w:rPr>
          <w:rFonts w:hint="eastAsia" w:ascii="仿宋_GB2312" w:hAnsi="仿宋_GB2312" w:eastAsia="仿宋_GB2312" w:cs="仿宋_GB2312"/>
          <w:szCs w:val="32"/>
        </w:rPr>
        <w:t>深入统筹全旗电力规划，</w:t>
      </w:r>
      <w:r>
        <w:rPr>
          <w:rFonts w:hint="eastAsia" w:ascii="仿宋_GB2312" w:hAnsi="仿宋_GB2312" w:eastAsia="仿宋_GB2312" w:cs="仿宋_GB2312"/>
          <w:szCs w:val="32"/>
          <w:lang w:val="en-US"/>
        </w:rPr>
        <w:t>示范推广“云大物移智”等前沿技术，</w:t>
      </w:r>
      <w:r>
        <w:rPr>
          <w:rFonts w:hint="eastAsia" w:ascii="仿宋_GB2312" w:hAnsi="仿宋_GB2312" w:eastAsia="仿宋_GB2312" w:cs="仿宋_GB2312"/>
          <w:szCs w:val="32"/>
        </w:rPr>
        <w:t>升级电力基础设施建设。推进建设网架结构合理、智能化水平高的坚强智能电网，</w:t>
      </w:r>
      <w:r>
        <w:rPr>
          <w:rFonts w:hint="eastAsia" w:ascii="仿宋_GB2312" w:hAnsi="仿宋_GB2312" w:eastAsia="仿宋_GB2312" w:cs="仿宋_GB2312"/>
          <w:szCs w:val="32"/>
          <w:lang w:val="en-US"/>
        </w:rPr>
        <w:t>形成整体协调、供电能力充裕、电源支撑能力坚强、满足新能源汇集送出的区域输配电力体系</w:t>
      </w:r>
      <w:r>
        <w:rPr>
          <w:rFonts w:hint="eastAsia" w:ascii="仿宋_GB2312" w:hAnsi="仿宋_GB2312" w:eastAsia="仿宋_GB2312" w:cs="仿宋_GB2312"/>
          <w:szCs w:val="32"/>
        </w:rPr>
        <w:t>。采用新技术、新设备，逐步更新转型，加快配电网智能化、数字化水平，促进能源与信息产业深度融合。继续做好</w:t>
      </w:r>
      <w:r>
        <w:rPr>
          <w:rFonts w:hint="eastAsia" w:ascii="仿宋_GB2312" w:hAnsi="仿宋_GB2312" w:eastAsia="仿宋_GB2312" w:cs="仿宋_GB2312"/>
          <w:szCs w:val="32"/>
          <w:lang w:val="en-US"/>
        </w:rPr>
        <w:t>城乡电网升级改造</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科学谋划线路走向，提高电力设施普遍服务水平</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积极</w:t>
      </w:r>
      <w:r>
        <w:rPr>
          <w:rFonts w:hint="eastAsia" w:ascii="仿宋_GB2312" w:hAnsi="仿宋_GB2312" w:eastAsia="仿宋_GB2312" w:cs="仿宋_GB2312"/>
          <w:szCs w:val="32"/>
        </w:rPr>
        <w:t>推进</w:t>
      </w:r>
      <w:r>
        <w:rPr>
          <w:rFonts w:hint="eastAsia" w:ascii="仿宋_GB2312" w:hAnsi="仿宋_GB2312" w:eastAsia="仿宋_GB2312" w:cs="仿宋_GB2312"/>
          <w:szCs w:val="32"/>
          <w:lang w:val="en-US"/>
        </w:rPr>
        <w:t>耳字壕1座</w:t>
      </w:r>
      <w:r>
        <w:rPr>
          <w:rFonts w:hint="eastAsia" w:ascii="仿宋_GB2312" w:hAnsi="仿宋_GB2312" w:eastAsia="仿宋_GB2312" w:cs="仿宋_GB2312"/>
          <w:szCs w:val="32"/>
        </w:rPr>
        <w:t>500kV、</w:t>
      </w:r>
      <w:r>
        <w:rPr>
          <w:rFonts w:hint="eastAsia" w:ascii="仿宋_GB2312" w:hAnsi="仿宋_GB2312" w:eastAsia="仿宋_GB2312" w:cs="仿宋_GB2312"/>
          <w:szCs w:val="32"/>
          <w:lang w:val="en-US"/>
        </w:rPr>
        <w:t>达拉持经济开发区2座</w:t>
      </w:r>
      <w:r>
        <w:rPr>
          <w:rFonts w:hint="eastAsia" w:ascii="仿宋_GB2312" w:hAnsi="仿宋_GB2312" w:eastAsia="仿宋_GB2312" w:cs="仿宋_GB2312"/>
          <w:szCs w:val="32"/>
        </w:rPr>
        <w:t>220kV 、</w:t>
      </w:r>
      <w:r>
        <w:rPr>
          <w:rFonts w:hint="eastAsia" w:ascii="仿宋_GB2312" w:hAnsi="仿宋_GB2312" w:eastAsia="仿宋_GB2312" w:cs="仿宋_GB2312"/>
          <w:szCs w:val="32"/>
          <w:lang w:val="en-US"/>
        </w:rPr>
        <w:t>4座</w:t>
      </w:r>
      <w:r>
        <w:rPr>
          <w:rFonts w:hint="eastAsia" w:ascii="仿宋_GB2312" w:hAnsi="仿宋_GB2312" w:eastAsia="仿宋_GB2312" w:cs="仿宋_GB2312"/>
          <w:szCs w:val="32"/>
        </w:rPr>
        <w:t>110kV</w:t>
      </w:r>
      <w:r>
        <w:rPr>
          <w:rFonts w:hint="eastAsia" w:ascii="仿宋_GB2312" w:hAnsi="仿宋_GB2312" w:eastAsia="仿宋_GB2312" w:cs="仿宋_GB2312"/>
          <w:szCs w:val="32"/>
          <w:lang w:val="en-US"/>
        </w:rPr>
        <w:t>项目建设</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保障全旗电力稳定供应</w:t>
      </w:r>
      <w:r>
        <w:rPr>
          <w:rFonts w:hint="eastAsia" w:ascii="仿宋_GB2312" w:hAnsi="仿宋_GB2312" w:eastAsia="仿宋_GB2312" w:cs="仿宋_GB2312"/>
          <w:szCs w:val="32"/>
        </w:rPr>
        <w:t>。</w:t>
      </w:r>
      <w:bookmarkStart w:id="599" w:name="_Toc59098794"/>
      <w:r>
        <w:rPr>
          <w:rFonts w:hint="eastAsia" w:ascii="仿宋_GB2312" w:hAnsi="仿宋_GB2312" w:eastAsia="仿宋_GB2312" w:cs="仿宋_GB2312"/>
          <w:szCs w:val="32"/>
        </w:rPr>
        <w:t>加强天然气长输管网建设，推进陕京四线包达支线工程，保障三晌梁、风水梁工业园生产供应。</w:t>
      </w:r>
    </w:p>
    <w:p w14:paraId="0398077D">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全面加强“新基建”网络</w:t>
      </w:r>
      <w:r>
        <w:rPr>
          <w:rFonts w:hint="eastAsia" w:ascii="楷体_GB2312" w:hAnsi="楷体_GB2312" w:eastAsia="楷体_GB2312" w:cs="楷体_GB2312"/>
          <w:b/>
          <w:bCs/>
          <w:lang w:val="en-US"/>
        </w:rPr>
        <w:t>。</w:t>
      </w:r>
      <w:r>
        <w:rPr>
          <w:rFonts w:hint="eastAsia" w:ascii="仿宋_GB2312" w:hAnsi="仿宋_GB2312" w:eastAsia="仿宋_GB2312" w:cs="仿宋_GB2312"/>
          <w:szCs w:val="32"/>
        </w:rPr>
        <w:t>抓住“两新一重”国家重大政策机遇，面向高质量发展需要，加快推进以5G技术应用为代表的新型基础设施建设，培育高质量发展新的增长点，为我旗经济社会发展提供坚强支撑。加快构建具有区域特色的5G产业生态体系，到2025年，中心城区、苏木镇所在地、农牧区景区、矿区等热点区域5G网络实现连续覆盖。加快推进NGB(下一代广播电视网)规模建设进程，实现广电网络超高清云化、IP化、智能化发展。加速光纤网络扩容，优化骨干网络结构，持续提升网络带宽和质量。统筹推进全旗骨干网、城域网、接入网IPv6升级，到2025年，全旗IPv6网络规模和质量位居全市前列。加快物联网终端部署，围绕城市管理、民生服务、公共安全、医疗卫生等领域，积极部署低成本、低功耗、高精度、高可靠的智能化传感器，推动“万物互联”发展。推动城市公共基础设施管理智能化，有序推进电表、水表、燃气表等智能化改造。推进新型智能化公共设施建设，整合交通、综治、安监、环保、教育、社区等领域视频监控需求，形成全域覆盖、统筹部署的视频监控网络。</w:t>
      </w:r>
      <w:bookmarkEnd w:id="599"/>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776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50" w:hRule="atLeast"/>
        </w:trPr>
        <w:tc>
          <w:tcPr>
            <w:tcW w:w="9064" w:type="dxa"/>
            <w:shd w:val="clear" w:color="auto" w:fill="FDE9D9" w:themeFill="accent6" w:themeFillShade="D9" w:themeFillTint="33"/>
            <w:vAlign w:val="center"/>
          </w:tcPr>
          <w:p w14:paraId="44051C22">
            <w:pPr>
              <w:spacing w:line="240" w:lineRule="auto"/>
              <w:ind w:firstLine="562"/>
              <w:jc w:val="center"/>
              <w:rPr>
                <w:rFonts w:ascii="Times New Roman" w:hAnsi="Times New Roman" w:eastAsia="仿宋_GB2312" w:cs="Times New Roman"/>
                <w:sz w:val="24"/>
                <w:szCs w:val="24"/>
              </w:rPr>
            </w:pPr>
            <w:r>
              <w:rPr>
                <w:rFonts w:ascii="Times New Roman" w:hAnsi="Times New Roman" w:eastAsia="仿宋_GB2312" w:cs="Times New Roman"/>
                <w:b/>
                <w:bCs/>
                <w:sz w:val="28"/>
                <w:szCs w:val="28"/>
              </w:rPr>
              <w:t>专栏10：基础设施网络新格局</w:t>
            </w:r>
          </w:p>
        </w:tc>
      </w:tr>
      <w:tr w14:paraId="3231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2D33F285">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
                <w:bCs/>
                <w:sz w:val="24"/>
                <w:szCs w:val="24"/>
              </w:rPr>
              <w:t xml:space="preserve"> 综合立体交通体系。</w:t>
            </w:r>
            <w:r>
              <w:rPr>
                <w:rFonts w:hint="eastAsia" w:ascii="仿宋_GB2312" w:hAnsi="Times New Roman" w:eastAsia="仿宋_GB2312" w:cs="Times New Roman"/>
                <w:sz w:val="24"/>
                <w:szCs w:val="24"/>
              </w:rPr>
              <w:t>推动“路、铁、空”多层次交通基础设施综合化、一体化、智能化发展，实施公路网提升工程、铁路网畅通工程、通用航空网建设工程。</w:t>
            </w:r>
          </w:p>
          <w:p w14:paraId="157DA400">
            <w:pPr>
              <w:spacing w:line="360" w:lineRule="auto"/>
              <w:ind w:firstLine="361" w:firstLineChars="150"/>
              <w:rPr>
                <w:rFonts w:ascii="仿宋_GB2312" w:hAnsi="Times New Roman" w:eastAsia="仿宋_GB2312" w:cs="Times New Roman"/>
                <w:sz w:val="24"/>
                <w:szCs w:val="24"/>
                <w:lang w:val="en-US"/>
              </w:rPr>
            </w:pPr>
            <w:r>
              <w:rPr>
                <w:rFonts w:hint="eastAsia" w:ascii="仿宋_GB2312" w:hAnsi="Times New Roman" w:eastAsia="仿宋_GB2312" w:cs="Times New Roman"/>
                <w:b/>
                <w:sz w:val="24"/>
                <w:szCs w:val="24"/>
              </w:rPr>
              <w:t>◆ 水利基础网络体系。</w:t>
            </w:r>
            <w:r>
              <w:rPr>
                <w:rFonts w:hint="eastAsia" w:ascii="仿宋_GB2312" w:hAnsi="Times New Roman" w:eastAsia="仿宋_GB2312" w:cs="Times New Roman"/>
                <w:sz w:val="24"/>
                <w:szCs w:val="24"/>
                <w:lang w:val="en-US"/>
              </w:rPr>
              <w:t>黄河三期防洪工程、</w:t>
            </w:r>
            <w:r>
              <w:rPr>
                <w:rFonts w:hint="eastAsia" w:ascii="仿宋_GB2312" w:hAnsi="Times New Roman" w:eastAsia="仿宋_GB2312" w:cs="Times New Roman"/>
                <w:sz w:val="24"/>
                <w:szCs w:val="24"/>
              </w:rPr>
              <w:t>骨干河道治理工程、蓄滞洪区建设、城乡防洪减灾体系建设工程、黄灌区节水配套改造工程、农村牧区饮水安全巩固提升工程、</w:t>
            </w:r>
            <w:r>
              <w:rPr>
                <w:rFonts w:hint="eastAsia" w:ascii="仿宋_GB2312" w:hAnsi="Times New Roman" w:eastAsia="仿宋_GB2312" w:cs="Times New Roman"/>
                <w:sz w:val="24"/>
                <w:szCs w:val="24"/>
                <w:lang w:val="en-US"/>
              </w:rPr>
              <w:t>水源地保护工程、智慧</w:t>
            </w:r>
            <w:r>
              <w:rPr>
                <w:rFonts w:hint="eastAsia" w:ascii="仿宋_GB2312" w:hAnsi="Times New Roman" w:eastAsia="仿宋_GB2312" w:cs="Times New Roman"/>
                <w:sz w:val="24"/>
                <w:szCs w:val="24"/>
              </w:rPr>
              <w:t>水利</w:t>
            </w:r>
            <w:r>
              <w:rPr>
                <w:rFonts w:hint="eastAsia" w:ascii="仿宋_GB2312" w:hAnsi="Times New Roman" w:eastAsia="仿宋_GB2312" w:cs="Times New Roman"/>
                <w:sz w:val="24"/>
                <w:szCs w:val="24"/>
                <w:lang w:val="en-US"/>
              </w:rPr>
              <w:t>建设工程。</w:t>
            </w:r>
          </w:p>
          <w:p w14:paraId="48FA1A40">
            <w:pPr>
              <w:spacing w:line="360" w:lineRule="auto"/>
              <w:ind w:firstLine="360" w:firstLineChars="150"/>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
                <w:bCs/>
                <w:sz w:val="24"/>
                <w:szCs w:val="24"/>
              </w:rPr>
              <w:t xml:space="preserve"> 能源设施网络体系。</w:t>
            </w:r>
            <w:r>
              <w:rPr>
                <w:rFonts w:hint="eastAsia" w:ascii="仿宋_GB2312" w:hAnsi="Times New Roman" w:eastAsia="仿宋_GB2312" w:cs="Times New Roman"/>
                <w:sz w:val="24"/>
                <w:szCs w:val="24"/>
                <w:lang w:val="en-US"/>
              </w:rPr>
              <w:t>城乡电网升级改造工程、</w:t>
            </w:r>
            <w:r>
              <w:rPr>
                <w:rFonts w:hint="eastAsia" w:ascii="仿宋_GB2312" w:hAnsi="Times New Roman" w:eastAsia="仿宋_GB2312" w:cs="Times New Roman"/>
                <w:sz w:val="24"/>
                <w:szCs w:val="24"/>
              </w:rPr>
              <w:t>天然气长输管网建设工程。</w:t>
            </w:r>
          </w:p>
          <w:p w14:paraId="516FC3F2">
            <w:pPr>
              <w:spacing w:line="360" w:lineRule="auto"/>
              <w:ind w:firstLine="360" w:firstLineChars="150"/>
              <w:rPr>
                <w:rFonts w:ascii="Times New Roman" w:hAnsi="Times New Roman" w:cs="Times New Roman"/>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
                <w:bCs/>
                <w:sz w:val="24"/>
                <w:szCs w:val="24"/>
              </w:rPr>
              <w:t>“新基建”网络体系。</w:t>
            </w:r>
            <w:r>
              <w:rPr>
                <w:rFonts w:hint="eastAsia" w:ascii="仿宋_GB2312" w:hAnsi="Times New Roman" w:eastAsia="仿宋_GB2312" w:cs="Times New Roman"/>
                <w:sz w:val="24"/>
                <w:szCs w:val="24"/>
              </w:rPr>
              <w:t>5G网络商用部署工程、NGB(下一代广播电视网)规模建设工程、光纤网络扩容工程、城市公共基础设施智能化升级工程。</w:t>
            </w:r>
          </w:p>
        </w:tc>
      </w:tr>
    </w:tbl>
    <w:p w14:paraId="594158FD">
      <w:pPr>
        <w:pStyle w:val="4"/>
        <w:spacing w:line="600" w:lineRule="exact"/>
        <w:rPr>
          <w:rFonts w:ascii="楷体_GB2312" w:hAnsi="楷体_GB2312" w:eastAsia="楷体_GB2312" w:cs="楷体_GB2312"/>
        </w:rPr>
      </w:pPr>
      <w:bookmarkStart w:id="600" w:name="_Toc23033"/>
      <w:bookmarkStart w:id="601" w:name="_Toc24283"/>
      <w:bookmarkStart w:id="602" w:name="_Toc2092335127"/>
      <w:r>
        <w:rPr>
          <w:rFonts w:hint="eastAsia" w:ascii="楷体_GB2312" w:hAnsi="楷体_GB2312" w:eastAsia="楷体_GB2312" w:cs="楷体_GB2312"/>
        </w:rPr>
        <w:t>第三节 加快城市能级提升，筑牢新型城镇化核心优势</w:t>
      </w:r>
      <w:bookmarkEnd w:id="600"/>
      <w:bookmarkEnd w:id="601"/>
      <w:bookmarkEnd w:id="602"/>
    </w:p>
    <w:p w14:paraId="19987977">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坚持以人为核心的城镇化理念，更加注重城市空间格局和品质提升，加快完善中心城区功能配套，持续增强城区建设质量和精细化管理水平，大力推进产城融合互动，使中心城区有内涵、有品位、有温度，吸引力和竞争力不断升级，为建设“富强达拉特”提供高品质的生产生活载体。</w:t>
      </w:r>
    </w:p>
    <w:p w14:paraId="1C3FC9FD">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提升城市功能品质</w:t>
      </w:r>
      <w:r>
        <w:rPr>
          <w:rFonts w:hint="eastAsia" w:ascii="楷体_GB2312" w:hAnsi="楷体_GB2312" w:eastAsia="楷体_GB2312" w:cs="楷体_GB2312"/>
          <w:b/>
          <w:bCs/>
        </w:rPr>
        <w:t>。</w:t>
      </w:r>
      <w:r>
        <w:rPr>
          <w:rFonts w:hint="eastAsia" w:ascii="仿宋_GB2312" w:hAnsi="仿宋_GB2312" w:eastAsia="仿宋_GB2312" w:cs="仿宋_GB2312"/>
          <w:szCs w:val="32"/>
        </w:rPr>
        <w:t>大力实施城市更新行动，加快中心城区供水、供热、供气、地下管网等基础设施改造提升，推进树林召城区雨污分离工程，增强城市防洪排涝能力，建设海绵城市、韧性城市，新增地下管线207.6公里、改造提升排水管网</w:t>
      </w:r>
      <w:r>
        <w:rPr>
          <w:rFonts w:hint="eastAsia" w:ascii="仿宋_GB2312" w:hAnsi="仿宋_GB2312" w:eastAsia="仿宋_GB2312" w:cs="仿宋_GB2312"/>
          <w:szCs w:val="32"/>
          <w:lang w:val="en-US"/>
        </w:rPr>
        <w:t>21.1</w:t>
      </w:r>
      <w:r>
        <w:rPr>
          <w:rFonts w:hint="eastAsia" w:ascii="仿宋_GB2312" w:hAnsi="仿宋_GB2312" w:eastAsia="仿宋_GB2312" w:cs="仿宋_GB2312"/>
          <w:szCs w:val="32"/>
        </w:rPr>
        <w:t>公里，集中供热面积达到1500万平方米、天然气用达到6万户，城市供水普及率、燃气普及率分别达到99.7%和93%；有序推进棚户区迁建安置，全面完成老旧小区和平房区改造。大力实施城市畅通工程，以构建内联外通的城市道路交通网络为目标, 规划建设高铁站、城市轻轨等标志性工程，加快建设和提升南园街、建设路等10条城市主次道路，全力打通“断头路”，优化城市公共交通出行，新增市政道路11.3公里、公交站点36个。大力实施城市品质提升行动，加快推动城镇绿色发展，完成巷道硬化25万平方米，新增城市绿地</w:t>
      </w:r>
      <w:r>
        <w:rPr>
          <w:rFonts w:hint="eastAsia" w:ascii="仿宋_GB2312" w:hAnsi="仿宋_GB2312" w:eastAsia="仿宋_GB2312" w:cs="仿宋_GB2312"/>
          <w:szCs w:val="32"/>
          <w:lang w:val="en-US"/>
        </w:rPr>
        <w:t>50</w:t>
      </w:r>
      <w:r>
        <w:rPr>
          <w:rFonts w:hint="eastAsia" w:ascii="仿宋_GB2312" w:hAnsi="仿宋_GB2312" w:eastAsia="仿宋_GB2312" w:cs="仿宋_GB2312"/>
          <w:szCs w:val="32"/>
        </w:rPr>
        <w:t>万平方米、改造提升30万平方米，新建公园1处，提升白塔公园和达拉特广场景观和服务功能；以“水绕达拉特、城在园林中”为愿景，积极争取引黄入城，全力推动城市水系建设，提升城市活性、灵性，打造“黄河几字弯”沙漠滨河明珠水城；着重加强城市门户改造、房地产特色开发、城市地标建筑和商业文化街区、未来社区建设，大力盘活存量房地产资源，优化提升中心城区整体风貌，不断提高城市能级，真切回应人民群众对美好生活的向往。</w:t>
      </w:r>
    </w:p>
    <w:p w14:paraId="76872678">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增强城市公共服务能力</w:t>
      </w:r>
      <w:r>
        <w:rPr>
          <w:rFonts w:hint="eastAsia" w:ascii="楷体_GB2312" w:hAnsi="楷体_GB2312" w:eastAsia="楷体_GB2312" w:cs="楷体_GB2312"/>
          <w:b/>
          <w:bCs/>
        </w:rPr>
        <w:t>。</w:t>
      </w:r>
      <w:r>
        <w:rPr>
          <w:rFonts w:hint="eastAsia" w:ascii="仿宋_GB2312" w:hAnsi="仿宋_GB2312" w:eastAsia="仿宋_GB2312" w:cs="仿宋_GB2312"/>
          <w:szCs w:val="32"/>
        </w:rPr>
        <w:t>积极推进智慧城市、雪亮工程建设，实现城市管理、交通运输、安全生产、环保监测等平台信息互通、数据共享，提高城市生活便捷度。巩固国家卫生城市创建成果，加大网格化管理力度，推动环境卫生设施提级扩能，集中打造3-5条卫生严管样板街，加强背街小巷、城乡结合部等薄弱区域综合整治，逐步消除城市管理盲区，提升城市卫生文明水平。到2025年，城市垃圾无害化处理率达到99%。盘活现有单位、小区、商业区公共资源，加强公共停车场地建设，新增停车位10万个，切实缓解停车难题。加强城市生活节水管理和水资源综合利用，积极创建国家节水型城市。完善人防疏散基地和应急指挥信息系统，加快防空地下室等人防设施工程建设，提升建筑物、重要建设工程等的抗震设防能力，完善应急避难设施配套体系。加强消防应急救援能力建设，提升消防基础设施和专职消防队伍水平，完善苏木镇消防队伍和消防水源建设，增强全民消防安全意识。全面加强城市人文管理，加快构建现代城管体系，提高精细化管理水平，不断厚植城市底蕴，彰显达拉特人文魅力。</w:t>
      </w:r>
    </w:p>
    <w:p w14:paraId="307AFBF3">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有序推进转移人口市民化</w:t>
      </w:r>
      <w:r>
        <w:rPr>
          <w:rFonts w:hint="eastAsia" w:ascii="楷体_GB2312" w:hAnsi="楷体_GB2312" w:eastAsia="楷体_GB2312" w:cs="楷体_GB2312"/>
          <w:b/>
          <w:bCs/>
        </w:rPr>
        <w:t>。</w:t>
      </w:r>
      <w:r>
        <w:rPr>
          <w:rFonts w:hint="eastAsia" w:ascii="仿宋_GB2312" w:hAnsi="仿宋_GB2312" w:eastAsia="仿宋_GB2312" w:cs="仿宋_GB2312"/>
          <w:szCs w:val="32"/>
        </w:rPr>
        <w:t>按照尊重意愿、自主选择，存量优先、带动增量的原则，以农牧业转移人口为重点，兼顾城镇间异地就业人员和城区城郊农牧业人口，围绕“人、地、财”等关键要素，统筹推进户籍制度、产权制度改革和基本公共服务均等化，有效推动城市人口合理扩容，稳步提升城镇化水平和质量。到2025年，全旗城镇人口规模达到2</w:t>
      </w:r>
      <w:r>
        <w:rPr>
          <w:rFonts w:hint="eastAsia" w:ascii="仿宋_GB2312" w:hAnsi="仿宋_GB2312" w:eastAsia="仿宋_GB2312" w:cs="仿宋_GB2312"/>
          <w:szCs w:val="32"/>
          <w:lang w:val="en-US"/>
        </w:rPr>
        <w:t>2</w:t>
      </w:r>
      <w:r>
        <w:rPr>
          <w:rFonts w:hint="eastAsia" w:ascii="仿宋_GB2312" w:hAnsi="仿宋_GB2312" w:eastAsia="仿宋_GB2312" w:cs="仿宋_GB2312"/>
          <w:szCs w:val="32"/>
        </w:rPr>
        <w:t>万人左右，常住人口城镇化率达到62%。加快完善人口市民化机制，建立财政转移支付与吸纳转移人口市民化挂钩机制，进城农民凭借户籍转移备案证书和集体成员资格证明，继续享有农村土地承包经营权、宅基地使用权及其它集体经济权益。深化户籍制度改革，进一步降低落户门槛，全面放开小城镇落户限制，取消外来人口就业落户缴纳社会保险年限限制。深化农村产权制度改革，全力推进农村宅基地“三权分置”改革，依法保障农村转移人口宅基地资格权和使用权。坚持城市和产业双轮驱动，用足用好自治区和市政府支持县域经济和新型城镇化建设政策，推进产城融合发展，着力构建以产促城、以城兴产新格局，筑牢转移人口生产生活基础保障。</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41DA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64" w:type="dxa"/>
            <w:shd w:val="clear" w:color="auto" w:fill="FDE9D9" w:themeFill="accent6" w:themeFillShade="D9" w:themeFillTint="33"/>
            <w:vAlign w:val="center"/>
          </w:tcPr>
          <w:p w14:paraId="0822E6E9">
            <w:pPr>
              <w:pStyle w:val="10"/>
              <w:spacing w:line="240" w:lineRule="auto"/>
              <w:ind w:left="0" w:firstLine="0" w:firstLineChars="0"/>
              <w:jc w:val="center"/>
              <w:rPr>
                <w:rFonts w:ascii="Times New Roman" w:hAnsi="Times New Roman" w:eastAsia="仿宋_GB2312" w:cs="Times New Roman"/>
                <w:b/>
              </w:rPr>
            </w:pPr>
            <w:r>
              <w:rPr>
                <w:rFonts w:ascii="Times New Roman" w:hAnsi="Times New Roman" w:eastAsia="仿宋_GB2312" w:cs="Times New Roman"/>
                <w:b/>
              </w:rPr>
              <w:t>专栏11：城市能级提升</w:t>
            </w:r>
          </w:p>
        </w:tc>
      </w:tr>
      <w:tr w14:paraId="2C9F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64" w:type="dxa"/>
            <w:shd w:val="clear" w:color="auto" w:fill="FDE9D9" w:themeFill="accent6" w:themeFillShade="D9" w:themeFillTint="33"/>
            <w:vAlign w:val="center"/>
          </w:tcPr>
          <w:p w14:paraId="1F7777DA">
            <w:pPr>
              <w:pStyle w:val="10"/>
              <w:spacing w:line="240" w:lineRule="auto"/>
              <w:ind w:left="0" w:firstLine="0" w:firstLineChars="0"/>
              <w:jc w:val="center"/>
              <w:rPr>
                <w:rFonts w:ascii="Times New Roman" w:hAnsi="Times New Roman" w:eastAsia="仿宋_GB2312" w:cs="Times New Roman"/>
                <w:b/>
              </w:rPr>
            </w:pPr>
            <w:r>
              <w:rPr>
                <w:rFonts w:ascii="Times New Roman" w:hAnsi="Times New Roman" w:eastAsia="仿宋_GB2312" w:cs="Times New Roman"/>
                <w:b/>
              </w:rPr>
              <w:t>重大战略</w:t>
            </w:r>
          </w:p>
        </w:tc>
      </w:tr>
      <w:tr w14:paraId="5257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9D99D45">
            <w:pPr>
              <w:pStyle w:val="10"/>
              <w:spacing w:line="360" w:lineRule="auto"/>
              <w:ind w:left="0" w:firstLine="48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
                <w:bCs/>
                <w:sz w:val="24"/>
                <w:szCs w:val="24"/>
              </w:rPr>
              <w:t>“黄河几字弯”</w:t>
            </w:r>
            <w:r>
              <w:rPr>
                <w:rFonts w:hint="eastAsia" w:ascii="仿宋_GB2312" w:hAnsi="Times New Roman" w:eastAsia="仿宋_GB2312" w:cs="Times New Roman"/>
                <w:b/>
                <w:sz w:val="24"/>
                <w:szCs w:val="24"/>
              </w:rPr>
              <w:t>沙漠滨河明珠水城。</w:t>
            </w:r>
            <w:r>
              <w:rPr>
                <w:rFonts w:hint="eastAsia" w:ascii="仿宋_GB2312" w:hAnsi="Times New Roman" w:eastAsia="仿宋_GB2312" w:cs="Times New Roman"/>
                <w:sz w:val="24"/>
                <w:szCs w:val="24"/>
              </w:rPr>
              <w:t>以“水绕达拉特、城在园林中”为愿景，极争取引黄入城，全力推动城市水系建设，提升城市活性、灵性。</w:t>
            </w:r>
          </w:p>
        </w:tc>
      </w:tr>
      <w:tr w14:paraId="2C1F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064" w:type="dxa"/>
            <w:shd w:val="clear" w:color="auto" w:fill="FDEADA" w:themeFill="accent6" w:themeFillShade="D9" w:themeFillTint="32"/>
            <w:vAlign w:val="center"/>
          </w:tcPr>
          <w:p w14:paraId="112E2B11">
            <w:pPr>
              <w:pStyle w:val="10"/>
              <w:spacing w:line="240" w:lineRule="auto"/>
              <w:ind w:left="0" w:firstLine="0" w:firstLineChars="0"/>
              <w:jc w:val="center"/>
              <w:rPr>
                <w:rFonts w:ascii="Times New Roman" w:hAnsi="Times New Roman" w:eastAsia="仿宋_GB2312" w:cs="Times New Roman"/>
              </w:rPr>
            </w:pPr>
            <w:r>
              <w:rPr>
                <w:rFonts w:ascii="Times New Roman" w:hAnsi="Times New Roman" w:eastAsia="仿宋_GB2312" w:cs="Times New Roman"/>
                <w:b/>
              </w:rPr>
              <w:t>重大工程</w:t>
            </w:r>
          </w:p>
        </w:tc>
      </w:tr>
      <w:tr w14:paraId="5253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CFB1AE8">
            <w:pPr>
              <w:pStyle w:val="10"/>
              <w:spacing w:line="360" w:lineRule="auto"/>
              <w:ind w:left="0"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bCs/>
                <w:sz w:val="24"/>
                <w:szCs w:val="24"/>
              </w:rPr>
              <w:t>城市更新行动</w:t>
            </w:r>
            <w:r>
              <w:rPr>
                <w:rFonts w:hint="eastAsia" w:ascii="仿宋_GB2312" w:hAnsi="Times New Roman" w:eastAsia="仿宋_GB2312" w:cs="Times New Roman"/>
                <w:sz w:val="24"/>
                <w:szCs w:val="24"/>
              </w:rPr>
              <w:t>。全面完成老旧小区和平房区改造</w:t>
            </w:r>
          </w:p>
          <w:p w14:paraId="742478EC">
            <w:pPr>
              <w:pStyle w:val="10"/>
              <w:spacing w:line="360" w:lineRule="auto"/>
              <w:ind w:left="0"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bCs/>
                <w:sz w:val="24"/>
                <w:szCs w:val="24"/>
              </w:rPr>
              <w:t>城市畅通工程</w:t>
            </w:r>
            <w:r>
              <w:rPr>
                <w:rFonts w:hint="eastAsia" w:ascii="仿宋_GB2312" w:hAnsi="Times New Roman" w:eastAsia="仿宋_GB2312" w:cs="Times New Roman"/>
                <w:sz w:val="24"/>
                <w:szCs w:val="24"/>
              </w:rPr>
              <w:t>。建设改造15条城市骨干道路</w:t>
            </w:r>
          </w:p>
          <w:p w14:paraId="02927677">
            <w:pPr>
              <w:pStyle w:val="10"/>
              <w:spacing w:line="360" w:lineRule="auto"/>
              <w:ind w:left="0" w:firstLine="48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bCs/>
                <w:sz w:val="24"/>
                <w:szCs w:val="24"/>
              </w:rPr>
              <w:t>城市品质提升行动</w:t>
            </w:r>
            <w:r>
              <w:rPr>
                <w:rFonts w:hint="eastAsia" w:ascii="仿宋_GB2312" w:hAnsi="Times New Roman" w:eastAsia="仿宋_GB2312" w:cs="Times New Roman"/>
                <w:sz w:val="24"/>
                <w:szCs w:val="24"/>
              </w:rPr>
              <w:t>。国家节水型城市、国家城市卫生文明城市创建工程，城市绿色发展工程、环城水系工程、智慧城市工程、雪亮工程、城市救援能力提升工程</w:t>
            </w:r>
          </w:p>
          <w:p w14:paraId="381C490C">
            <w:pPr>
              <w:pStyle w:val="10"/>
              <w:spacing w:line="360" w:lineRule="auto"/>
              <w:ind w:left="0" w:firstLine="480"/>
              <w:rPr>
                <w:rFonts w:ascii="Times New Roman" w:hAnsi="Times New Roman" w:eastAsia="仿宋_GB2312" w:cs="Times New Roman"/>
              </w:rPr>
            </w:pP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b/>
                <w:bCs/>
                <w:sz w:val="24"/>
                <w:szCs w:val="24"/>
              </w:rPr>
              <w:t>城市人口合理扩容工程。</w:t>
            </w:r>
          </w:p>
        </w:tc>
      </w:tr>
    </w:tbl>
    <w:p w14:paraId="0FD7D0DB">
      <w:pPr>
        <w:pStyle w:val="4"/>
        <w:spacing w:line="600" w:lineRule="exact"/>
        <w:rPr>
          <w:rFonts w:ascii="黑体" w:hAnsi="黑体" w:eastAsia="黑体" w:cs="楷体_GB2312"/>
        </w:rPr>
      </w:pPr>
      <w:bookmarkStart w:id="603" w:name="_Toc24143"/>
      <w:bookmarkStart w:id="604" w:name="_Toc831759864"/>
      <w:r>
        <w:rPr>
          <w:rFonts w:hint="eastAsia" w:ascii="黑体" w:hAnsi="黑体" w:eastAsia="黑体" w:cs="楷体_GB2312"/>
        </w:rPr>
        <w:t>第八章 加速农业农村现代化建设，全面推进乡村振兴</w:t>
      </w:r>
      <w:bookmarkEnd w:id="603"/>
      <w:bookmarkEnd w:id="604"/>
    </w:p>
    <w:p w14:paraId="1E1BD756">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把为广大农牧民谋幸福作为重要使命，把解决好“三农”问题作为全旗工作的首要任务，保持脱贫攻坚基本帮扶政策稳定，举全旗之力推动乡村振兴，加快农业农村现代化，促进农业高质高效、乡村宜居宜业、农民富裕富足，推动农村牧区全面进步。</w:t>
      </w:r>
    </w:p>
    <w:p w14:paraId="62CE4FE4">
      <w:pPr>
        <w:spacing w:line="600" w:lineRule="exact"/>
        <w:ind w:firstLine="0" w:firstLineChars="0"/>
        <w:jc w:val="center"/>
        <w:outlineLvl w:val="1"/>
        <w:rPr>
          <w:rStyle w:val="34"/>
          <w:rFonts w:ascii="楷体_GB2312" w:hAnsi="楷体_GB2312" w:eastAsia="楷体_GB2312" w:cs="楷体_GB2312"/>
          <w:szCs w:val="32"/>
        </w:rPr>
      </w:pPr>
      <w:bookmarkStart w:id="605" w:name="_Toc8393"/>
      <w:r>
        <w:rPr>
          <w:rFonts w:hint="eastAsia" w:ascii="楷体_GB2312" w:hAnsi="楷体_GB2312" w:eastAsia="楷体_GB2312" w:cs="楷体_GB2312"/>
          <w:b/>
          <w:lang w:val="en-US"/>
        </w:rPr>
        <w:t xml:space="preserve">第一节 </w:t>
      </w:r>
      <w:r>
        <w:rPr>
          <w:rStyle w:val="34"/>
          <w:rFonts w:hint="eastAsia" w:ascii="楷体_GB2312" w:hAnsi="楷体_GB2312" w:eastAsia="楷体_GB2312" w:cs="楷体_GB2312"/>
          <w:szCs w:val="32"/>
        </w:rPr>
        <w:t>加快乡村产业发展，推动乡村产业振兴</w:t>
      </w:r>
      <w:bookmarkEnd w:id="605"/>
    </w:p>
    <w:p w14:paraId="5D2BF6EE">
      <w:pPr>
        <w:spacing w:line="600" w:lineRule="exact"/>
        <w:ind w:firstLine="636" w:firstLineChars="0"/>
        <w:rPr>
          <w:lang w:val="en-US"/>
        </w:rPr>
      </w:pPr>
      <w:r>
        <w:rPr>
          <w:rFonts w:hint="eastAsia" w:ascii="仿宋_GB2312" w:hAnsi="Helvetica" w:eastAsia="仿宋_GB2312"/>
          <w:szCs w:val="32"/>
        </w:rPr>
        <w:t>以增加高端绿色农产品供给为导向，创新现代农牧业发展体制机制，持续深化农牧业供给侧结构性改革，加快发展玉米、蔬菜、饲草等高效绿色生态农业，大力</w:t>
      </w:r>
      <w:r>
        <w:rPr>
          <w:rFonts w:hint="eastAsia" w:ascii="仿宋_GB2312" w:hAnsi="仿宋_GB2312" w:eastAsia="仿宋_GB2312" w:cs="仿宋_GB2312"/>
          <w:szCs w:val="32"/>
        </w:rPr>
        <w:t>推进生猪、奶牛、肉羊等</w:t>
      </w:r>
      <w:r>
        <w:rPr>
          <w:rFonts w:hint="eastAsia" w:ascii="仿宋_GB2312" w:hAnsi="Helvetica" w:eastAsia="仿宋_GB2312"/>
          <w:szCs w:val="32"/>
        </w:rPr>
        <w:t>优质</w:t>
      </w:r>
      <w:r>
        <w:rPr>
          <w:rFonts w:hint="eastAsia" w:ascii="仿宋_GB2312" w:hAnsi="仿宋_GB2312" w:eastAsia="仿宋_GB2312" w:cs="仿宋_GB2312"/>
          <w:szCs w:val="32"/>
        </w:rPr>
        <w:t>畜牧业规模化、专业化发展，深入挖掘乡村生态环境、文化习俗、传统饮食、优质特产、农作方式等资源，积极导入文化创意、生活美学等策划运营理念，构建融合一二三产业的现代农牧业全产业链，推进乡村产业“接二连三”融合发展，全面夯实农业农村高质量发展的产业基础。立足地方特色资源，以特色种养业、农副产品加工业、农村服务业为重点，鼓励推广“一村一品”、“一镇一业”模式，</w:t>
      </w:r>
      <w:r>
        <w:rPr>
          <w:rFonts w:hint="eastAsia" w:ascii="仿宋_GB2312" w:eastAsia="仿宋_GB2312"/>
          <w:szCs w:val="32"/>
          <w:lang w:val="en-US" w:bidi="ar-SA"/>
        </w:rPr>
        <w:t>引导乡村发展“小而精、精而美”的乡土特色产业，培育“骨架小、专精尖”的乡村特色产品，</w:t>
      </w:r>
      <w:r>
        <w:rPr>
          <w:rFonts w:hint="eastAsia" w:ascii="仿宋_GB2312" w:hAnsi="Helvetica" w:eastAsia="仿宋_GB2312"/>
          <w:szCs w:val="32"/>
          <w:lang w:val="en-US" w:bidi="ar-SA"/>
        </w:rPr>
        <w:t>重点加强优质粮油、时鲜蔬果、花卉苗木、特色水产、畜禽养殖等农产品生产基地建设，</w:t>
      </w:r>
      <w:r>
        <w:rPr>
          <w:rFonts w:hint="eastAsia" w:ascii="仿宋_GB2312" w:eastAsia="仿宋_GB2312"/>
          <w:color w:val="000000"/>
          <w:szCs w:val="32"/>
          <w:lang w:val="en-US" w:bidi="ar-SA"/>
        </w:rPr>
        <w:t>打造一批基础条件好、主导产业突出、带动效果显著的产业强镇，</w:t>
      </w:r>
      <w:r>
        <w:rPr>
          <w:rFonts w:hint="eastAsia" w:ascii="仿宋_GB2312" w:hAnsi="仿宋_GB2312" w:eastAsia="仿宋_GB2312" w:cs="仿宋_GB2312"/>
          <w:szCs w:val="32"/>
        </w:rPr>
        <w:t>推动乡村产业发展壮大。大力实施“农村工业提升”行动，加强</w:t>
      </w:r>
      <w:r>
        <w:rPr>
          <w:rFonts w:hint="eastAsia" w:ascii="仿宋_GB2312" w:eastAsia="仿宋_GB2312"/>
          <w:szCs w:val="32"/>
          <w:lang w:val="en-US" w:bidi="ar-SA"/>
        </w:rPr>
        <w:t>地方龙头企业队伍培育，支持涉农龙头企业建设原料生产基地，引导农副产品加工产能重心下沉，扶持</w:t>
      </w:r>
      <w:r>
        <w:rPr>
          <w:rFonts w:hint="eastAsia" w:ascii="仿宋_GB2312" w:hAnsi="仿宋_GB2312" w:eastAsia="仿宋_GB2312" w:cs="仿宋_GB2312"/>
          <w:szCs w:val="32"/>
        </w:rPr>
        <w:t>家庭农场和农民合作社发展农畜产品初加工业，主动</w:t>
      </w:r>
      <w:r>
        <w:rPr>
          <w:rFonts w:hint="eastAsia" w:ascii="仿宋_GB2312" w:hAnsi="Helvetica" w:eastAsia="仿宋_GB2312"/>
          <w:szCs w:val="32"/>
          <w:lang w:val="en-US" w:bidi="ar-SA"/>
        </w:rPr>
        <w:t>对接农牧业龙头企业，实现产业内部深度耦合</w:t>
      </w:r>
      <w:r>
        <w:rPr>
          <w:rFonts w:hint="eastAsia" w:ascii="仿宋_GB2312" w:eastAsia="仿宋_GB2312"/>
          <w:szCs w:val="32"/>
          <w:lang w:val="en-US" w:bidi="ar-SA"/>
        </w:rPr>
        <w:t>，形成一批由龙头企业牵头、农民合作社和家庭农场跟进、广大小农户参与的农牧业产业化联合体，构建国家、自治区、市、旗四级乡村产业“新雁阵”,</w:t>
      </w:r>
      <w:r>
        <w:rPr>
          <w:rFonts w:hint="eastAsia" w:ascii="仿宋_GB2312" w:hAnsi="仿宋_GB2312" w:eastAsia="仿宋_GB2312" w:cs="仿宋_GB2312"/>
          <w:szCs w:val="32"/>
        </w:rPr>
        <w:t xml:space="preserve"> 让农牧民更多分享产业增值收益</w:t>
      </w:r>
      <w:r>
        <w:rPr>
          <w:rFonts w:hint="eastAsia" w:ascii="仿宋_GB2312" w:eastAsia="仿宋_GB2312"/>
          <w:szCs w:val="32"/>
          <w:lang w:val="en-US" w:bidi="ar-SA"/>
        </w:rPr>
        <w:t>。</w:t>
      </w:r>
      <w:r>
        <w:rPr>
          <w:rFonts w:hint="eastAsia" w:ascii="仿宋_GB2312" w:hAnsi="Helvetica" w:eastAsia="仿宋_GB2312"/>
          <w:szCs w:val="32"/>
          <w:lang w:val="en-US" w:bidi="ar-SA"/>
        </w:rPr>
        <w:t>充分拓展休闲农业、观光农业、创意农业等生态农业多种附加功能，</w:t>
      </w:r>
      <w:r>
        <w:rPr>
          <w:rFonts w:hint="eastAsia" w:ascii="仿宋_GB2312" w:eastAsia="仿宋_GB2312"/>
          <w:szCs w:val="32"/>
          <w:lang w:val="en-US" w:bidi="ar-SA"/>
        </w:rPr>
        <w:t>推动休闲农业示范村庄建设，培育一批设施完备、功能多样的休闲观光园区、乡村民宿、农耕体验、康养基地，推介一批“一村一景”“一村一韵”美丽休闲乡村、休闲农业乡村旅游精品，实现乡村</w:t>
      </w:r>
      <w:r>
        <w:rPr>
          <w:rFonts w:hint="eastAsia" w:ascii="仿宋_GB2312" w:hAnsi="Helvetica" w:eastAsia="仿宋_GB2312"/>
          <w:color w:val="1B1B1B"/>
          <w:szCs w:val="32"/>
          <w:lang w:val="en-US" w:bidi="ar-SA"/>
        </w:rPr>
        <w:t>产业综合效益倍增。</w:t>
      </w:r>
      <w:r>
        <w:rPr>
          <w:rFonts w:hint="eastAsia" w:ascii="仿宋_GB2312" w:hAnsi="仿宋_GB2312" w:eastAsia="仿宋_GB2312" w:cs="仿宋_GB2312"/>
          <w:szCs w:val="32"/>
        </w:rPr>
        <w:t>以“黄河几字湾”公用品牌为主体，创响一批“土字号”“乡字号”特色品牌，提升农畜产品融合度、知名度</w:t>
      </w:r>
      <w:r>
        <w:rPr>
          <w:rFonts w:hint="eastAsia" w:ascii="仿宋_GB2312" w:hAnsi="Helvetica" w:eastAsia="仿宋_GB2312"/>
          <w:szCs w:val="32"/>
          <w:lang w:val="en-US" w:bidi="ar-SA"/>
        </w:rPr>
        <w:t>。加快</w:t>
      </w:r>
      <w:r>
        <w:rPr>
          <w:rFonts w:hint="eastAsia" w:ascii="仿宋_GB2312" w:hAnsi="Helvetica" w:eastAsia="仿宋_GB2312"/>
          <w:szCs w:val="32"/>
        </w:rPr>
        <w:t>释放农村双层经营体制统分结合红利，以合作社为平台，以规模化运作为模式，建立完善风险共担、利益共享的农企联结机制，推动发展股份合作、产业化经营、社会化服务等多种形式的合作经济，提升产业联合体的带动作用，扩大农牧民受益面，实现村集体收入和村民收入双增长。</w:t>
      </w:r>
      <w:r>
        <w:rPr>
          <w:rFonts w:hint="eastAsia" w:ascii="仿宋_GB2312" w:hAnsi="仿宋_GB2312" w:eastAsia="仿宋_GB2312" w:cs="仿宋_GB2312"/>
          <w:szCs w:val="32"/>
        </w:rPr>
        <w:t>到2025年，全旗村集体经济全部突破10万元。</w:t>
      </w:r>
    </w:p>
    <w:p w14:paraId="26805868">
      <w:pPr>
        <w:pStyle w:val="4"/>
        <w:numPr>
          <w:ilvl w:val="255"/>
          <w:numId w:val="0"/>
        </w:numPr>
        <w:spacing w:line="600" w:lineRule="exact"/>
        <w:rPr>
          <w:rFonts w:ascii="楷体_GB2312" w:hAnsi="楷体_GB2312" w:eastAsia="楷体_GB2312" w:cs="楷体_GB2312"/>
          <w:lang w:val="en-US"/>
        </w:rPr>
      </w:pPr>
      <w:bookmarkStart w:id="606" w:name="_Toc5803"/>
      <w:r>
        <w:rPr>
          <w:rFonts w:hint="eastAsia" w:ascii="楷体_GB2312" w:hAnsi="楷体_GB2312" w:eastAsia="楷体_GB2312" w:cs="楷体_GB2312"/>
          <w:lang w:val="en-US"/>
        </w:rPr>
        <w:t xml:space="preserve">第二节 </w:t>
      </w:r>
      <w:r>
        <w:rPr>
          <w:rFonts w:ascii="楷体_GB2312" w:hAnsi="楷体_GB2312" w:eastAsia="楷体_GB2312" w:cs="楷体_GB2312"/>
          <w:lang w:val="en-US"/>
        </w:rPr>
        <w:t>强化人才</w:t>
      </w:r>
      <w:r>
        <w:rPr>
          <w:rFonts w:hint="eastAsia" w:ascii="楷体_GB2312" w:hAnsi="楷体_GB2312" w:eastAsia="楷体_GB2312" w:cs="楷体_GB2312"/>
          <w:lang w:val="en-US"/>
        </w:rPr>
        <w:t>队伍</w:t>
      </w:r>
      <w:r>
        <w:rPr>
          <w:rFonts w:ascii="楷体_GB2312" w:hAnsi="楷体_GB2312" w:eastAsia="楷体_GB2312" w:cs="楷体_GB2312"/>
          <w:lang w:val="en-US"/>
        </w:rPr>
        <w:t>支撑</w:t>
      </w:r>
      <w:r>
        <w:rPr>
          <w:rFonts w:hint="eastAsia" w:ascii="楷体_GB2312" w:hAnsi="楷体_GB2312" w:eastAsia="楷体_GB2312" w:cs="楷体_GB2312"/>
          <w:lang w:val="en-US"/>
        </w:rPr>
        <w:t>，</w:t>
      </w:r>
      <w:r>
        <w:rPr>
          <w:rFonts w:ascii="楷体_GB2312" w:hAnsi="楷体_GB2312" w:eastAsia="楷体_GB2312" w:cs="楷体_GB2312"/>
          <w:lang w:val="en-US"/>
        </w:rPr>
        <w:t>推动乡村人才振兴</w:t>
      </w:r>
      <w:bookmarkEnd w:id="606"/>
    </w:p>
    <w:p w14:paraId="1BC93449">
      <w:pPr>
        <w:spacing w:line="600" w:lineRule="exact"/>
        <w:ind w:firstLine="640"/>
        <w:rPr>
          <w:rFonts w:ascii="仿宋_GB2312" w:hAnsi="微软雅黑" w:eastAsia="仿宋_GB2312"/>
          <w:szCs w:val="32"/>
          <w:shd w:val="clear" w:color="auto" w:fill="FFFFFF"/>
        </w:rPr>
      </w:pPr>
      <w:r>
        <w:rPr>
          <w:rFonts w:hint="eastAsia" w:ascii="仿宋_GB2312" w:hAnsi="微软雅黑" w:eastAsia="仿宋_GB2312"/>
          <w:szCs w:val="32"/>
          <w:shd w:val="clear" w:color="auto" w:fill="FFFFFF"/>
        </w:rPr>
        <w:t>全面实施乡村人才培养计划，分层分类培育和引进农村牧区实用人才，</w:t>
      </w:r>
      <w:r>
        <w:rPr>
          <w:rFonts w:hint="eastAsia" w:ascii="仿宋_GB2312" w:hAnsi="PingFang SC" w:eastAsia="仿宋_GB2312"/>
          <w:spacing w:val="6"/>
          <w:szCs w:val="32"/>
          <w:shd w:val="clear" w:color="auto" w:fill="FFFFFF"/>
        </w:rPr>
        <w:t>建设乡村人才孵化基地，营造乡村创新创业氛围，</w:t>
      </w:r>
      <w:r>
        <w:rPr>
          <w:rFonts w:hint="eastAsia" w:ascii="仿宋_GB2312" w:hAnsi="微软雅黑" w:eastAsia="仿宋_GB2312"/>
          <w:szCs w:val="32"/>
          <w:shd w:val="clear" w:color="auto" w:fill="FFFFFF"/>
        </w:rPr>
        <w:t>加快打造一支能适应农业农村发展的高素质乡村人才队伍，为乡村振兴提供强有力的人才保障。</w:t>
      </w:r>
    </w:p>
    <w:p w14:paraId="105F13B5">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扩大</w:t>
      </w:r>
      <w:r>
        <w:rPr>
          <w:rStyle w:val="34"/>
          <w:rFonts w:hint="eastAsia" w:ascii="楷体_GB2312" w:hAnsi="楷体_GB2312" w:eastAsia="楷体_GB2312" w:cs="楷体_GB2312"/>
        </w:rPr>
        <w:t>乡村人才总量。</w:t>
      </w:r>
      <w:r>
        <w:rPr>
          <w:rFonts w:hint="eastAsia" w:ascii="仿宋_GB2312" w:hAnsi="仿宋_GB2312" w:eastAsia="仿宋_GB2312" w:cs="仿宋_GB2312"/>
          <w:szCs w:val="32"/>
        </w:rPr>
        <w:t>建立健全人才激励机制，制定完善</w:t>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乡村人才引进和创新创业奖补政策</w:t>
      </w:r>
      <w:r>
        <w:rPr>
          <w:rFonts w:ascii="仿宋_GB2312" w:hAnsi="仿宋_GB2312" w:eastAsia="仿宋_GB2312" w:cs="仿宋_GB2312"/>
          <w:szCs w:val="32"/>
        </w:rPr>
        <w:t>，</w:t>
      </w:r>
      <w:r>
        <w:rPr>
          <w:rFonts w:hint="eastAsia" w:ascii="仿宋_GB2312" w:hAnsi="仿宋_GB2312" w:eastAsia="仿宋_GB2312" w:cs="仿宋_GB2312"/>
          <w:szCs w:val="32"/>
        </w:rPr>
        <w:t>鼓励社会人才投身乡村建设。精准把握农业农村发展需求，加强“三支一扶”“特岗教师”“西部志愿者”等面向基层招才引才服务措施，从源头上为乡村振兴提供长效人才支撑。大力实施“乡村人才回流计划”，积极引导高校毕业生、在外务工经商人员、退役复员军人等本土人才返乡创新创业，打造熟悉本土环境、具备带动能力的本土人才队伍。坚持引才引智并重，努力拓宽乡村引才视野和人才来源，鼓励企业家、农技人员、退休专家等城市人才通过投资合作、承包经营、技术入股等方式，参与现代农牧业发展和乡村建设，为我旗乡村全面振兴贡献才智。</w:t>
      </w:r>
    </w:p>
    <w:p w14:paraId="015C519B">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强化专业人才培养</w:t>
      </w:r>
      <w:r>
        <w:rPr>
          <w:rStyle w:val="34"/>
          <w:rFonts w:ascii="楷体_GB2312" w:hAnsi="楷体_GB2312" w:eastAsia="楷体_GB2312" w:cs="楷体_GB2312"/>
        </w:rPr>
        <w:t>。</w:t>
      </w:r>
      <w:r>
        <w:rPr>
          <w:rFonts w:hint="eastAsia" w:ascii="仿宋_GB2312" w:hAnsi="仿宋_GB2312" w:eastAsia="仿宋_GB2312" w:cs="仿宋_GB2312"/>
          <w:szCs w:val="32"/>
        </w:rPr>
        <w:t>加强行业人才储备和</w:t>
      </w:r>
      <w:r>
        <w:rPr>
          <w:rFonts w:hint="eastAsia" w:ascii="仿宋_GB2312" w:hAnsi="仿宋_GB2312" w:eastAsia="仿宋_GB2312" w:cs="仿宋_GB2312"/>
          <w:szCs w:val="32"/>
          <w:lang w:val="en-US"/>
        </w:rPr>
        <w:t>培养</w:t>
      </w:r>
      <w:r>
        <w:rPr>
          <w:rFonts w:ascii="仿宋_GB2312" w:hAnsi="仿宋_GB2312" w:eastAsia="仿宋_GB2312" w:cs="仿宋_GB2312"/>
          <w:szCs w:val="32"/>
        </w:rPr>
        <w:t>，</w:t>
      </w:r>
      <w:r>
        <w:rPr>
          <w:rFonts w:hint="eastAsia" w:ascii="仿宋_GB2312" w:hAnsi="仿宋_GB2312" w:eastAsia="仿宋_GB2312" w:cs="仿宋_GB2312"/>
          <w:szCs w:val="32"/>
          <w:lang w:val="en-US"/>
        </w:rPr>
        <w:t>全面补齐乡村人才结构性短板</w:t>
      </w:r>
      <w:r>
        <w:rPr>
          <w:rFonts w:ascii="仿宋_GB2312" w:hAnsi="仿宋_GB2312" w:eastAsia="仿宋_GB2312" w:cs="仿宋_GB2312"/>
          <w:szCs w:val="32"/>
        </w:rPr>
        <w:t>。加快农业生产经营人才培养，深入实施现代农民</w:t>
      </w:r>
      <w:r>
        <w:rPr>
          <w:rFonts w:hint="eastAsia" w:ascii="仿宋_GB2312" w:hAnsi="仿宋_GB2312" w:eastAsia="仿宋_GB2312" w:cs="仿宋_GB2312"/>
          <w:szCs w:val="32"/>
        </w:rPr>
        <w:t>和</w:t>
      </w:r>
      <w:r>
        <w:rPr>
          <w:rFonts w:ascii="仿宋_GB2312" w:hAnsi="仿宋_GB2312" w:eastAsia="仿宋_GB2312" w:cs="仿宋_GB2312"/>
          <w:szCs w:val="32"/>
        </w:rPr>
        <w:t>农村实用人才培养计划，突出抓好家庭农场经营者、农民合作社带头人培育</w:t>
      </w:r>
      <w:r>
        <w:rPr>
          <w:rFonts w:hint="eastAsia" w:ascii="仿宋_GB2312" w:hAnsi="仿宋_GB2312" w:eastAsia="仿宋_GB2312" w:cs="仿宋_GB2312"/>
          <w:szCs w:val="32"/>
        </w:rPr>
        <w:t>，提高</w:t>
      </w:r>
      <w:r>
        <w:rPr>
          <w:rFonts w:ascii="仿宋_GB2312" w:hAnsi="仿宋_GB2312" w:eastAsia="仿宋_GB2312" w:cs="仿宋_GB2312"/>
          <w:szCs w:val="32"/>
        </w:rPr>
        <w:t>农民队伍</w:t>
      </w:r>
      <w:r>
        <w:rPr>
          <w:rFonts w:hint="eastAsia" w:ascii="仿宋_GB2312" w:hAnsi="仿宋_GB2312" w:eastAsia="仿宋_GB2312" w:cs="仿宋_GB2312"/>
          <w:szCs w:val="32"/>
        </w:rPr>
        <w:t>整体素质</w:t>
      </w:r>
      <w:r>
        <w:rPr>
          <w:rFonts w:ascii="仿宋_GB2312" w:hAnsi="仿宋_GB2312" w:eastAsia="仿宋_GB2312" w:cs="仿宋_GB2312"/>
          <w:szCs w:val="32"/>
        </w:rPr>
        <w:t>。加快农村二三产业发展人才培养，</w:t>
      </w:r>
      <w:r>
        <w:rPr>
          <w:rFonts w:hint="eastAsia" w:ascii="仿宋_GB2312" w:hAnsi="仿宋_GB2312" w:eastAsia="仿宋_GB2312" w:cs="仿宋_GB2312"/>
          <w:szCs w:val="32"/>
        </w:rPr>
        <w:t>大力实施</w:t>
      </w:r>
      <w:r>
        <w:rPr>
          <w:rFonts w:ascii="仿宋_GB2312" w:hAnsi="仿宋_GB2312" w:eastAsia="仿宋_GB2312" w:cs="仿宋_GB2312"/>
          <w:szCs w:val="32"/>
        </w:rPr>
        <w:t>农村创新创业带头人培育行动，加强农村电商人才培育，壮大新一代乡村企业家队伍</w:t>
      </w:r>
      <w:r>
        <w:rPr>
          <w:rFonts w:hint="eastAsia" w:ascii="仿宋_GB2312" w:hAnsi="仿宋_GB2312" w:eastAsia="仿宋_GB2312" w:cs="仿宋_GB2312"/>
          <w:szCs w:val="32"/>
        </w:rPr>
        <w:t>。</w:t>
      </w:r>
      <w:r>
        <w:rPr>
          <w:rFonts w:ascii="仿宋_GB2312" w:hAnsi="仿宋_GB2312" w:eastAsia="仿宋_GB2312" w:cs="仿宋_GB2312"/>
          <w:szCs w:val="32"/>
        </w:rPr>
        <w:t>加快乡村公共服务人才培养，</w:t>
      </w:r>
      <w:r>
        <w:rPr>
          <w:rFonts w:hint="eastAsia" w:ascii="仿宋_GB2312" w:hAnsi="仿宋_GB2312" w:eastAsia="仿宋_GB2312" w:cs="仿宋_GB2312"/>
          <w:szCs w:val="32"/>
          <w:lang w:val="en-US"/>
        </w:rPr>
        <w:t>全面加强</w:t>
      </w:r>
      <w:r>
        <w:rPr>
          <w:rFonts w:ascii="仿宋_GB2312" w:hAnsi="仿宋_GB2312" w:eastAsia="仿宋_GB2312" w:cs="仿宋_GB2312"/>
          <w:szCs w:val="32"/>
        </w:rPr>
        <w:t>乡村教师、乡村卫生健康、乡村文化旅游、乡村规划建设</w:t>
      </w:r>
      <w:r>
        <w:rPr>
          <w:rFonts w:hint="eastAsia" w:ascii="仿宋_GB2312" w:hAnsi="仿宋_GB2312" w:eastAsia="仿宋_GB2312" w:cs="仿宋_GB2312"/>
          <w:szCs w:val="32"/>
        </w:rPr>
        <w:t>等</w:t>
      </w:r>
      <w:r>
        <w:rPr>
          <w:rFonts w:ascii="仿宋_GB2312" w:hAnsi="仿宋_GB2312" w:eastAsia="仿宋_GB2312" w:cs="仿宋_GB2312"/>
          <w:szCs w:val="32"/>
        </w:rPr>
        <w:t>人才</w:t>
      </w:r>
      <w:r>
        <w:rPr>
          <w:rFonts w:hint="eastAsia" w:ascii="仿宋_GB2312" w:hAnsi="仿宋_GB2312" w:eastAsia="仿宋_GB2312" w:cs="仿宋_GB2312"/>
          <w:szCs w:val="32"/>
          <w:lang w:val="en-US"/>
        </w:rPr>
        <w:t>的培养和引进</w:t>
      </w:r>
      <w:r>
        <w:rPr>
          <w:rFonts w:ascii="仿宋_GB2312" w:hAnsi="仿宋_GB2312" w:eastAsia="仿宋_GB2312" w:cs="仿宋_GB2312"/>
          <w:szCs w:val="32"/>
        </w:rPr>
        <w:t>。加快乡村治理人才培养，</w:t>
      </w:r>
      <w:r>
        <w:rPr>
          <w:rFonts w:hint="eastAsia" w:ascii="仿宋_GB2312" w:hAnsi="仿宋_GB2312" w:eastAsia="仿宋_GB2312" w:cs="仿宋_GB2312"/>
          <w:szCs w:val="32"/>
          <w:lang w:val="en-US"/>
        </w:rPr>
        <w:t>强化</w:t>
      </w:r>
      <w:r>
        <w:rPr>
          <w:rFonts w:ascii="仿宋_GB2312" w:hAnsi="仿宋_GB2312" w:eastAsia="仿宋_GB2312" w:cs="仿宋_GB2312"/>
          <w:szCs w:val="32"/>
        </w:rPr>
        <w:t>乡镇党政人才队伍建设，推动村党组织带头人队伍整体优化提升，实施“一村一名大学生”培育计划，</w:t>
      </w:r>
      <w:r>
        <w:rPr>
          <w:rFonts w:hint="eastAsia" w:ascii="仿宋_GB2312" w:hAnsi="仿宋_GB2312" w:eastAsia="仿宋_GB2312" w:cs="仿宋_GB2312"/>
          <w:szCs w:val="32"/>
          <w:lang w:val="en-US"/>
        </w:rPr>
        <w:t>推进</w:t>
      </w:r>
      <w:r>
        <w:rPr>
          <w:rFonts w:ascii="仿宋_GB2312" w:hAnsi="仿宋_GB2312" w:eastAsia="仿宋_GB2312" w:cs="仿宋_GB2312"/>
          <w:szCs w:val="32"/>
        </w:rPr>
        <w:t>农村社会工作人才队伍、经营管理人才队伍</w:t>
      </w:r>
      <w:r>
        <w:rPr>
          <w:rFonts w:hint="eastAsia" w:ascii="仿宋_GB2312" w:hAnsi="仿宋_GB2312" w:eastAsia="仿宋_GB2312" w:cs="仿宋_GB2312"/>
          <w:szCs w:val="32"/>
        </w:rPr>
        <w:t>和</w:t>
      </w:r>
      <w:r>
        <w:rPr>
          <w:rFonts w:ascii="仿宋_GB2312" w:hAnsi="仿宋_GB2312" w:eastAsia="仿宋_GB2312" w:cs="仿宋_GB2312"/>
          <w:szCs w:val="32"/>
        </w:rPr>
        <w:t>法律人才队伍建设。加快农业农村科技人才培养，</w:t>
      </w:r>
      <w:r>
        <w:rPr>
          <w:rFonts w:hint="eastAsia" w:ascii="仿宋_GB2312" w:hAnsi="仿宋_GB2312" w:eastAsia="仿宋_GB2312" w:cs="仿宋_GB2312"/>
          <w:szCs w:val="32"/>
          <w:lang w:val="en-US"/>
        </w:rPr>
        <w:t>充实</w:t>
      </w:r>
      <w:r>
        <w:rPr>
          <w:rFonts w:ascii="仿宋_GB2312" w:hAnsi="仿宋_GB2312" w:eastAsia="仿宋_GB2312" w:cs="仿宋_GB2312"/>
          <w:szCs w:val="32"/>
        </w:rPr>
        <w:t>农业农村高科技领军人才</w:t>
      </w:r>
      <w:r>
        <w:rPr>
          <w:rFonts w:hint="eastAsia" w:ascii="仿宋_GB2312" w:hAnsi="仿宋_GB2312" w:eastAsia="仿宋_GB2312" w:cs="仿宋_GB2312"/>
          <w:szCs w:val="32"/>
          <w:lang w:val="en-US"/>
        </w:rPr>
        <w:t>队伍</w:t>
      </w:r>
      <w:r>
        <w:rPr>
          <w:rFonts w:ascii="仿宋_GB2312" w:hAnsi="仿宋_GB2312" w:eastAsia="仿宋_GB2312" w:cs="仿宋_GB2312"/>
          <w:szCs w:val="32"/>
        </w:rPr>
        <w:t>、科技创新人才</w:t>
      </w:r>
      <w:r>
        <w:rPr>
          <w:rFonts w:hint="eastAsia" w:ascii="仿宋_GB2312" w:hAnsi="仿宋_GB2312" w:eastAsia="仿宋_GB2312" w:cs="仿宋_GB2312"/>
          <w:szCs w:val="32"/>
          <w:lang w:val="en-US"/>
        </w:rPr>
        <w:t>队伍</w:t>
      </w:r>
      <w:r>
        <w:rPr>
          <w:rFonts w:ascii="仿宋_GB2312" w:hAnsi="仿宋_GB2312" w:eastAsia="仿宋_GB2312" w:cs="仿宋_GB2312"/>
          <w:szCs w:val="32"/>
        </w:rPr>
        <w:t>、科技推广人才</w:t>
      </w:r>
      <w:r>
        <w:rPr>
          <w:rFonts w:hint="eastAsia" w:ascii="仿宋_GB2312" w:hAnsi="仿宋_GB2312" w:eastAsia="仿宋_GB2312" w:cs="仿宋_GB2312"/>
          <w:szCs w:val="32"/>
          <w:lang w:val="en-US"/>
        </w:rPr>
        <w:t>队伍</w:t>
      </w:r>
      <w:r>
        <w:rPr>
          <w:rFonts w:ascii="仿宋_GB2312" w:hAnsi="仿宋_GB2312" w:eastAsia="仿宋_GB2312" w:cs="仿宋_GB2312"/>
          <w:szCs w:val="32"/>
        </w:rPr>
        <w:t>和科技特派员队伍。</w:t>
      </w:r>
    </w:p>
    <w:p w14:paraId="285C22D2">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提升乡村人才素质。</w:t>
      </w:r>
      <w:r>
        <w:rPr>
          <w:rFonts w:hint="eastAsia" w:ascii="仿宋_GB2312" w:hAnsi="仿宋_GB2312" w:eastAsia="仿宋_GB2312" w:cs="仿宋_GB2312"/>
          <w:szCs w:val="32"/>
        </w:rPr>
        <w:t>抓好青年人才培养，</w:t>
      </w:r>
      <w:r>
        <w:rPr>
          <w:rFonts w:hint="eastAsia" w:ascii="仿宋_GB2312" w:hAnsi="仿宋_GB2312" w:eastAsia="仿宋_GB2312" w:cs="仿宋_GB2312"/>
          <w:szCs w:val="32"/>
          <w:lang w:val="en-US"/>
        </w:rPr>
        <w:t>定期选拔</w:t>
      </w:r>
      <w:r>
        <w:rPr>
          <w:rFonts w:hint="eastAsia" w:ascii="仿宋_GB2312" w:hAnsi="仿宋_GB2312" w:eastAsia="仿宋_GB2312" w:cs="仿宋_GB2312"/>
          <w:szCs w:val="32"/>
        </w:rPr>
        <w:t>乡村青年人才到</w:t>
      </w:r>
      <w:r>
        <w:rPr>
          <w:rFonts w:hint="eastAsia" w:ascii="仿宋_GB2312" w:hAnsi="仿宋_GB2312" w:eastAsia="仿宋_GB2312" w:cs="仿宋_GB2312"/>
          <w:szCs w:val="32"/>
          <w:lang w:val="en-US"/>
        </w:rPr>
        <w:t>国内</w:t>
      </w:r>
      <w:r>
        <w:rPr>
          <w:rFonts w:hint="eastAsia" w:ascii="仿宋_GB2312" w:hAnsi="仿宋_GB2312" w:eastAsia="仿宋_GB2312" w:cs="仿宋_GB2312"/>
          <w:szCs w:val="32"/>
        </w:rPr>
        <w:t>高校、科研院所、医疗卫生机构</w:t>
      </w:r>
      <w:r>
        <w:rPr>
          <w:rFonts w:hint="eastAsia" w:ascii="仿宋_GB2312" w:hAnsi="仿宋_GB2312" w:eastAsia="仿宋_GB2312" w:cs="仿宋_GB2312"/>
          <w:szCs w:val="32"/>
          <w:lang w:val="en-US"/>
        </w:rPr>
        <w:t>进行</w:t>
      </w:r>
      <w:r>
        <w:rPr>
          <w:rFonts w:hint="eastAsia" w:ascii="仿宋_GB2312" w:hAnsi="仿宋_GB2312" w:eastAsia="仿宋_GB2312" w:cs="仿宋_GB2312"/>
          <w:szCs w:val="32"/>
        </w:rPr>
        <w:t>研修学习，提高乡村青年人才的业务能力和专业水平。深入实施现代农民培育计划，分层分类开展全产业链培训，加强训后技术指导和跟踪服务，培养高素质农民队伍。</w:t>
      </w:r>
      <w:r>
        <w:rPr>
          <w:rFonts w:hint="eastAsia" w:ascii="仿宋_GB2312" w:hAnsi="仿宋_GB2312" w:eastAsia="仿宋_GB2312" w:cs="仿宋_GB2312"/>
          <w:szCs w:val="32"/>
          <w:lang w:val="en-US"/>
        </w:rPr>
        <w:t>加强与自治区内外培训机构和企业合作</w:t>
      </w:r>
      <w:r>
        <w:rPr>
          <w:rFonts w:ascii="仿宋_GB2312" w:hAnsi="仿宋_GB2312" w:eastAsia="仿宋_GB2312" w:cs="仿宋_GB2312"/>
          <w:szCs w:val="32"/>
        </w:rPr>
        <w:t>，</w:t>
      </w:r>
      <w:r>
        <w:rPr>
          <w:rFonts w:hint="eastAsia" w:ascii="仿宋_GB2312" w:hAnsi="仿宋_GB2312" w:eastAsia="仿宋_GB2312" w:cs="仿宋_GB2312"/>
          <w:szCs w:val="32"/>
          <w:lang w:val="en-US"/>
        </w:rPr>
        <w:t>建设</w:t>
      </w:r>
      <w:r>
        <w:rPr>
          <w:rFonts w:hint="eastAsia" w:ascii="仿宋_GB2312" w:hAnsi="仿宋_GB2312" w:eastAsia="仿宋_GB2312" w:cs="仿宋_GB2312"/>
          <w:szCs w:val="32"/>
        </w:rPr>
        <w:t>乡村振兴人才实习实训基地，采取订单培养的方式，开展乡村专技人才、高素质农民、合作社带头人、创新创业人才等专项培训，充分利用现有网络教育资源，加大农民在线教育培训力度，持续</w:t>
      </w:r>
      <w:r>
        <w:rPr>
          <w:rFonts w:hint="eastAsia" w:ascii="仿宋_GB2312" w:hAnsi="仿宋_GB2312" w:eastAsia="仿宋_GB2312" w:cs="仿宋_GB2312"/>
          <w:szCs w:val="32"/>
          <w:lang w:val="en-US"/>
        </w:rPr>
        <w:t>为</w:t>
      </w:r>
      <w:r>
        <w:rPr>
          <w:rFonts w:hint="eastAsia" w:ascii="仿宋_GB2312" w:hAnsi="仿宋_GB2312" w:eastAsia="仿宋_GB2312" w:cs="仿宋_GB2312"/>
          <w:szCs w:val="32"/>
        </w:rPr>
        <w:t>我</w:t>
      </w:r>
      <w:r>
        <w:rPr>
          <w:rFonts w:ascii="仿宋_GB2312" w:hAnsi="仿宋_GB2312" w:eastAsia="仿宋_GB2312" w:cs="仿宋_GB2312"/>
          <w:szCs w:val="32"/>
        </w:rPr>
        <w:t>旗</w:t>
      </w:r>
      <w:r>
        <w:rPr>
          <w:rFonts w:hint="eastAsia" w:ascii="仿宋_GB2312" w:hAnsi="仿宋_GB2312" w:eastAsia="仿宋_GB2312" w:cs="仿宋_GB2312"/>
          <w:szCs w:val="32"/>
          <w:lang w:val="en-US"/>
        </w:rPr>
        <w:t>乡村振兴输送专业化程度高</w:t>
      </w:r>
      <w:r>
        <w:rPr>
          <w:rFonts w:ascii="仿宋_GB2312" w:hAnsi="仿宋_GB2312" w:eastAsia="仿宋_GB2312" w:cs="仿宋_GB2312"/>
          <w:szCs w:val="32"/>
        </w:rPr>
        <w:t>、</w:t>
      </w:r>
      <w:r>
        <w:rPr>
          <w:rFonts w:hint="eastAsia" w:ascii="仿宋_GB2312" w:hAnsi="仿宋_GB2312" w:eastAsia="仿宋_GB2312" w:cs="仿宋_GB2312"/>
          <w:szCs w:val="32"/>
          <w:lang w:val="en-US"/>
        </w:rPr>
        <w:t>业务能力突出的高质量人才</w:t>
      </w:r>
      <w:r>
        <w:rPr>
          <w:rFonts w:hint="eastAsia" w:ascii="仿宋_GB2312" w:hAnsi="仿宋_GB2312" w:eastAsia="仿宋_GB2312" w:cs="仿宋_GB2312"/>
          <w:szCs w:val="32"/>
        </w:rPr>
        <w:t>。围绕本地特色劳务群体和务工技能需求，通过定点委托培养、邀请专家授课、举办技能竞赛、开展线上培训等方式，加强转移农民技能培训，打造农民工劳务输出品牌</w:t>
      </w:r>
      <w:r>
        <w:rPr>
          <w:rFonts w:ascii="仿宋_GB2312" w:hAnsi="仿宋_GB2312" w:eastAsia="仿宋_GB2312" w:cs="仿宋_GB2312"/>
          <w:szCs w:val="32"/>
        </w:rPr>
        <w:t>，</w:t>
      </w:r>
      <w:r>
        <w:rPr>
          <w:rFonts w:hint="eastAsia" w:ascii="仿宋_GB2312" w:hAnsi="仿宋_GB2312" w:eastAsia="仿宋_GB2312" w:cs="仿宋_GB2312"/>
          <w:szCs w:val="32"/>
        </w:rPr>
        <w:t>带动群众增加工资性收入。</w:t>
      </w:r>
    </w:p>
    <w:p w14:paraId="517D5185">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优化乡村人才环境</w:t>
      </w:r>
      <w:r>
        <w:rPr>
          <w:rStyle w:val="34"/>
          <w:rFonts w:ascii="楷体_GB2312" w:hAnsi="楷体_GB2312" w:eastAsia="楷体_GB2312" w:cs="楷体_GB2312"/>
          <w:lang w:val="en-US"/>
        </w:rPr>
        <w:t>。</w:t>
      </w:r>
      <w:r>
        <w:rPr>
          <w:rFonts w:hint="eastAsia" w:ascii="仿宋_GB2312" w:hAnsi="仿宋_GB2312" w:eastAsia="仿宋_GB2312" w:cs="仿宋_GB2312"/>
          <w:szCs w:val="32"/>
        </w:rPr>
        <w:t>加强组织领导，建立健全</w:t>
      </w:r>
      <w:r>
        <w:rPr>
          <w:rFonts w:hint="eastAsia" w:ascii="仿宋_GB2312" w:hAnsi="仿宋_GB2312" w:eastAsia="仿宋_GB2312" w:cs="仿宋_GB2312"/>
          <w:szCs w:val="32"/>
          <w:lang w:val="en-US"/>
        </w:rPr>
        <w:t>协调工作机制</w:t>
      </w:r>
      <w:r>
        <w:rPr>
          <w:rFonts w:ascii="仿宋_GB2312" w:hAnsi="仿宋_GB2312" w:eastAsia="仿宋_GB2312" w:cs="仿宋_GB2312"/>
          <w:szCs w:val="32"/>
        </w:rPr>
        <w:t>，</w:t>
      </w:r>
      <w:r>
        <w:rPr>
          <w:rFonts w:hint="eastAsia" w:ascii="仿宋_GB2312" w:hAnsi="仿宋_GB2312" w:eastAsia="仿宋_GB2312" w:cs="仿宋_GB2312"/>
          <w:szCs w:val="32"/>
          <w:lang w:val="en-US"/>
        </w:rPr>
        <w:t>形成部门间</w:t>
      </w:r>
      <w:r>
        <w:rPr>
          <w:rFonts w:hint="eastAsia" w:ascii="仿宋_GB2312" w:hAnsi="仿宋_GB2312" w:eastAsia="仿宋_GB2312" w:cs="仿宋_GB2312"/>
          <w:szCs w:val="32"/>
        </w:rPr>
        <w:t>分工负责、齐抓共管的工作格局，进一步凝聚工作合力，加快推进乡村人才振兴。加强激励保障，提高乡村工作津、补贴标准，落实职称晋升和倾斜政策，打造一支留得住、有活力的乡村振兴“领头雁”队伍。加强创业扶持，围绕现代农业、文旅产业、电商经济等业态，打造乡村创业孵化基地，提供创业场地、扶持资金、创业辅导等服务，为乡村创业发展提供扶持。加强乡村建设，进一步提升乡村教育、医疗、文化等公共服务质量和水平，为乡村人才施展才华提供良好的工作生活环境。加强舆论引导，积极宣传乡村人才先进典型，努力营造尊重乡村人才、关心乡村人才的良好社会氛围，提高乡村人才的荣誉感和自豪感。</w:t>
      </w:r>
    </w:p>
    <w:p w14:paraId="5A1B1A0E">
      <w:pPr>
        <w:spacing w:line="600" w:lineRule="exact"/>
        <w:ind w:firstLine="0" w:firstLineChars="0"/>
        <w:jc w:val="center"/>
        <w:outlineLvl w:val="1"/>
        <w:rPr>
          <w:rFonts w:ascii="仿宋_GB2312" w:hAnsi="仿宋_GB2312" w:eastAsia="仿宋_GB2312" w:cs="仿宋_GB2312"/>
          <w:szCs w:val="32"/>
        </w:rPr>
      </w:pPr>
      <w:bookmarkStart w:id="607" w:name="_Toc11984"/>
      <w:r>
        <w:rPr>
          <w:rStyle w:val="34"/>
          <w:rFonts w:hint="eastAsia" w:ascii="楷体_GB2312" w:hAnsi="楷体_GB2312" w:eastAsia="楷体_GB2312" w:cs="楷体_GB2312"/>
          <w:szCs w:val="32"/>
          <w:lang w:val="en-US"/>
        </w:rPr>
        <w:t xml:space="preserve">第三节 </w:t>
      </w:r>
      <w:r>
        <w:rPr>
          <w:rFonts w:ascii="楷体_GB2312" w:hAnsi="楷体_GB2312" w:eastAsia="楷体_GB2312" w:cs="楷体_GB2312"/>
          <w:b/>
          <w:szCs w:val="32"/>
          <w:lang w:val="en-US"/>
        </w:rPr>
        <w:t>促进乡村文化繁荣</w:t>
      </w:r>
      <w:r>
        <w:rPr>
          <w:rFonts w:hint="eastAsia" w:ascii="楷体_GB2312" w:hAnsi="楷体_GB2312" w:eastAsia="楷体_GB2312" w:cs="楷体_GB2312"/>
          <w:b/>
          <w:szCs w:val="32"/>
          <w:lang w:val="en-US"/>
        </w:rPr>
        <w:t>，</w:t>
      </w:r>
      <w:r>
        <w:rPr>
          <w:rFonts w:ascii="楷体_GB2312" w:hAnsi="楷体_GB2312" w:eastAsia="楷体_GB2312" w:cs="楷体_GB2312"/>
          <w:b/>
          <w:szCs w:val="32"/>
          <w:lang w:val="en-US"/>
        </w:rPr>
        <w:t>推动乡村</w:t>
      </w:r>
      <w:r>
        <w:rPr>
          <w:rFonts w:hint="eastAsia" w:ascii="楷体_GB2312" w:hAnsi="楷体_GB2312" w:eastAsia="楷体_GB2312" w:cs="楷体_GB2312"/>
          <w:b/>
          <w:szCs w:val="32"/>
          <w:lang w:val="en-US"/>
        </w:rPr>
        <w:t>文化</w:t>
      </w:r>
      <w:r>
        <w:rPr>
          <w:rFonts w:ascii="楷体_GB2312" w:hAnsi="楷体_GB2312" w:eastAsia="楷体_GB2312" w:cs="楷体_GB2312"/>
          <w:b/>
          <w:szCs w:val="32"/>
          <w:lang w:val="en-US"/>
        </w:rPr>
        <w:t>振兴</w:t>
      </w:r>
      <w:bookmarkEnd w:id="607"/>
    </w:p>
    <w:p w14:paraId="11E18ECC">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rPr>
        <w:t>增强乡村文化自信，</w:t>
      </w:r>
      <w:r>
        <w:rPr>
          <w:rFonts w:ascii="仿宋_GB2312" w:hAnsi="仿宋_GB2312" w:eastAsia="仿宋_GB2312" w:cs="仿宋_GB2312"/>
          <w:szCs w:val="32"/>
        </w:rPr>
        <w:t>吸引</w:t>
      </w:r>
      <w:r>
        <w:rPr>
          <w:rFonts w:hint="eastAsia" w:ascii="仿宋_GB2312" w:hAnsi="仿宋_GB2312" w:eastAsia="仿宋_GB2312" w:cs="仿宋_GB2312"/>
          <w:szCs w:val="32"/>
        </w:rPr>
        <w:t>广大</w:t>
      </w:r>
      <w:r>
        <w:rPr>
          <w:rFonts w:ascii="仿宋_GB2312" w:hAnsi="仿宋_GB2312" w:eastAsia="仿宋_GB2312" w:cs="仿宋_GB2312"/>
          <w:szCs w:val="32"/>
        </w:rPr>
        <w:t>村民</w:t>
      </w:r>
      <w:r>
        <w:rPr>
          <w:rFonts w:hint="eastAsia" w:ascii="仿宋_GB2312" w:hAnsi="仿宋_GB2312" w:eastAsia="仿宋_GB2312" w:cs="仿宋_GB2312"/>
          <w:szCs w:val="32"/>
        </w:rPr>
        <w:t>积极</w:t>
      </w:r>
      <w:r>
        <w:rPr>
          <w:rFonts w:ascii="仿宋_GB2312" w:hAnsi="仿宋_GB2312" w:eastAsia="仿宋_GB2312" w:cs="仿宋_GB2312"/>
          <w:szCs w:val="32"/>
        </w:rPr>
        <w:t>参与乡村文化建设</w:t>
      </w:r>
      <w:r>
        <w:rPr>
          <w:rFonts w:hint="eastAsia" w:ascii="仿宋_GB2312" w:hAnsi="仿宋_GB2312" w:eastAsia="仿宋_GB2312" w:cs="仿宋_GB2312"/>
          <w:szCs w:val="32"/>
        </w:rPr>
        <w:t>，提升</w:t>
      </w:r>
      <w:r>
        <w:rPr>
          <w:rFonts w:ascii="仿宋_GB2312" w:hAnsi="仿宋_GB2312" w:eastAsia="仿宋_GB2312" w:cs="仿宋_GB2312"/>
          <w:szCs w:val="32"/>
        </w:rPr>
        <w:t>乡村集体凝聚力、向心力</w:t>
      </w:r>
      <w:r>
        <w:rPr>
          <w:rFonts w:hint="eastAsia" w:ascii="仿宋_GB2312" w:hAnsi="仿宋_GB2312" w:eastAsia="仿宋_GB2312" w:cs="仿宋_GB2312"/>
          <w:szCs w:val="32"/>
          <w:lang w:val="en-US"/>
        </w:rPr>
        <w:t>和</w:t>
      </w:r>
      <w:r>
        <w:rPr>
          <w:rFonts w:ascii="仿宋_GB2312" w:hAnsi="仿宋_GB2312" w:eastAsia="仿宋_GB2312" w:cs="仿宋_GB2312"/>
          <w:szCs w:val="32"/>
        </w:rPr>
        <w:t>认同感，</w:t>
      </w:r>
      <w:r>
        <w:rPr>
          <w:rFonts w:hint="eastAsia" w:ascii="仿宋_GB2312" w:hAnsi="仿宋_GB2312" w:eastAsia="仿宋_GB2312" w:cs="仿宋_GB2312"/>
          <w:szCs w:val="32"/>
          <w:lang w:val="en-US"/>
        </w:rPr>
        <w:t>形成乡风文明新风尚，不断满足乡村群众美好文化生活需求</w:t>
      </w:r>
      <w:r>
        <w:rPr>
          <w:rFonts w:ascii="仿宋_GB2312" w:hAnsi="仿宋_GB2312" w:eastAsia="仿宋_GB2312" w:cs="仿宋_GB2312"/>
          <w:szCs w:val="32"/>
        </w:rPr>
        <w:t>。</w:t>
      </w:r>
    </w:p>
    <w:p w14:paraId="23E1011F">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szCs w:val="32"/>
          <w:lang w:val="en-US"/>
        </w:rPr>
        <w:t>加强乡村</w:t>
      </w:r>
      <w:r>
        <w:rPr>
          <w:rStyle w:val="34"/>
          <w:rFonts w:hint="eastAsia" w:ascii="楷体_GB2312" w:hAnsi="楷体_GB2312" w:eastAsia="楷体_GB2312" w:cs="楷体_GB2312"/>
          <w:lang w:val="en-US"/>
        </w:rPr>
        <w:t>思想道德建设</w:t>
      </w:r>
      <w:r>
        <w:rPr>
          <w:rStyle w:val="34"/>
          <w:rFonts w:hint="eastAsia" w:ascii="楷体_GB2312" w:hAnsi="楷体_GB2312" w:eastAsia="楷体_GB2312" w:cs="楷体_GB2312"/>
          <w:szCs w:val="32"/>
          <w:lang w:val="en-US"/>
        </w:rPr>
        <w:t>。</w:t>
      </w:r>
      <w:r>
        <w:rPr>
          <w:rFonts w:ascii="仿宋_GB2312" w:hAnsi="仿宋_GB2312" w:eastAsia="仿宋_GB2312" w:cs="仿宋_GB2312"/>
          <w:szCs w:val="32"/>
          <w:lang w:val="en-US"/>
        </w:rPr>
        <w:t>践行社会主义核心价值观</w:t>
      </w:r>
      <w:r>
        <w:rPr>
          <w:rFonts w:ascii="仿宋_GB2312" w:hAnsi="仿宋_GB2312" w:eastAsia="仿宋_GB2312" w:cs="仿宋_GB2312"/>
          <w:szCs w:val="32"/>
        </w:rPr>
        <w:t>，深化中国特色社会主义和中国梦宣传教育，大力弘扬民族精神和时代精神，加强爱国主义、集体主义、社会主义教育，深化民族团结进步教育</w:t>
      </w:r>
      <w:r>
        <w:rPr>
          <w:rFonts w:hint="eastAsia" w:ascii="仿宋_GB2312" w:hAnsi="仿宋_GB2312" w:eastAsia="仿宋_GB2312" w:cs="仿宋_GB2312"/>
          <w:szCs w:val="32"/>
        </w:rPr>
        <w:t>，</w:t>
      </w:r>
      <w:r>
        <w:rPr>
          <w:rFonts w:ascii="仿宋_GB2312" w:hAnsi="仿宋_GB2312" w:eastAsia="仿宋_GB2312" w:cs="仿宋_GB2312"/>
          <w:szCs w:val="32"/>
        </w:rPr>
        <w:t>营造“风清气正”的</w:t>
      </w:r>
      <w:r>
        <w:rPr>
          <w:rFonts w:hint="eastAsia" w:ascii="仿宋_GB2312" w:hAnsi="仿宋_GB2312" w:eastAsia="仿宋_GB2312" w:cs="仿宋_GB2312"/>
          <w:szCs w:val="32"/>
        </w:rPr>
        <w:t>社会</w:t>
      </w:r>
      <w:r>
        <w:rPr>
          <w:rFonts w:ascii="仿宋_GB2312" w:hAnsi="仿宋_GB2312" w:eastAsia="仿宋_GB2312" w:cs="仿宋_GB2312"/>
          <w:szCs w:val="32"/>
        </w:rPr>
        <w:t>氛围。推进</w:t>
      </w:r>
      <w:r>
        <w:rPr>
          <w:rFonts w:hint="eastAsia" w:ascii="仿宋_GB2312" w:hAnsi="仿宋_GB2312" w:eastAsia="仿宋_GB2312" w:cs="仿宋_GB2312"/>
          <w:szCs w:val="32"/>
        </w:rPr>
        <w:t>乡村</w:t>
      </w:r>
      <w:r>
        <w:rPr>
          <w:rFonts w:ascii="仿宋_GB2312" w:hAnsi="仿宋_GB2312" w:eastAsia="仿宋_GB2312" w:cs="仿宋_GB2312"/>
          <w:szCs w:val="32"/>
        </w:rPr>
        <w:t>诚信</w:t>
      </w:r>
      <w:r>
        <w:rPr>
          <w:rFonts w:hint="eastAsia" w:ascii="仿宋_GB2312" w:hAnsi="仿宋_GB2312" w:eastAsia="仿宋_GB2312" w:cs="仿宋_GB2312"/>
          <w:szCs w:val="32"/>
        </w:rPr>
        <w:t>体系</w:t>
      </w:r>
      <w:r>
        <w:rPr>
          <w:rFonts w:ascii="仿宋_GB2312" w:hAnsi="仿宋_GB2312" w:eastAsia="仿宋_GB2312" w:cs="仿宋_GB2312"/>
          <w:szCs w:val="32"/>
        </w:rPr>
        <w:t>建设,强化农</w:t>
      </w:r>
      <w:r>
        <w:rPr>
          <w:rFonts w:hint="eastAsia" w:ascii="仿宋_GB2312" w:hAnsi="仿宋_GB2312" w:eastAsia="仿宋_GB2312" w:cs="仿宋_GB2312"/>
          <w:szCs w:val="32"/>
        </w:rPr>
        <w:t>牧</w:t>
      </w:r>
      <w:r>
        <w:rPr>
          <w:rFonts w:ascii="仿宋_GB2312" w:hAnsi="仿宋_GB2312" w:eastAsia="仿宋_GB2312" w:cs="仿宋_GB2312"/>
          <w:szCs w:val="32"/>
        </w:rPr>
        <w:t>民的社会责任意识、规则意识、集体意识和主人翁意识</w:t>
      </w:r>
      <w:r>
        <w:rPr>
          <w:rFonts w:hint="eastAsia" w:ascii="仿宋_GB2312" w:hAnsi="仿宋_GB2312" w:eastAsia="仿宋_GB2312" w:cs="仿宋_GB2312"/>
          <w:szCs w:val="32"/>
        </w:rPr>
        <w:t>，</w:t>
      </w:r>
      <w:r>
        <w:rPr>
          <w:rFonts w:ascii="仿宋_GB2312" w:hAnsi="仿宋_GB2312" w:eastAsia="仿宋_GB2312" w:cs="仿宋_GB2312"/>
          <w:szCs w:val="32"/>
        </w:rPr>
        <w:t>不断提高</w:t>
      </w:r>
      <w:r>
        <w:rPr>
          <w:rFonts w:hint="eastAsia" w:ascii="仿宋_GB2312" w:hAnsi="仿宋_GB2312" w:eastAsia="仿宋_GB2312" w:cs="仿宋_GB2312"/>
          <w:szCs w:val="32"/>
          <w:lang w:val="en-US"/>
        </w:rPr>
        <w:t>农村群众</w:t>
      </w:r>
      <w:r>
        <w:rPr>
          <w:rFonts w:ascii="仿宋_GB2312" w:hAnsi="仿宋_GB2312" w:eastAsia="仿宋_GB2312" w:cs="仿宋_GB2312"/>
          <w:szCs w:val="32"/>
        </w:rPr>
        <w:t>思想道德素质。</w:t>
      </w:r>
      <w:r>
        <w:rPr>
          <w:rFonts w:hint="eastAsia" w:ascii="仿宋_GB2312" w:hAnsi="仿宋_GB2312" w:eastAsia="仿宋_GB2312" w:cs="仿宋_GB2312"/>
          <w:szCs w:val="32"/>
        </w:rPr>
        <w:t>大力</w:t>
      </w:r>
      <w:r>
        <w:rPr>
          <w:rFonts w:ascii="仿宋_GB2312" w:hAnsi="仿宋_GB2312" w:eastAsia="仿宋_GB2312" w:cs="仿宋_GB2312"/>
          <w:szCs w:val="32"/>
        </w:rPr>
        <w:t>倡导道德规范，</w:t>
      </w:r>
      <w:r>
        <w:rPr>
          <w:rFonts w:hint="eastAsia" w:ascii="仿宋_GB2312" w:hAnsi="仿宋_GB2312" w:eastAsia="仿宋_GB2312" w:cs="仿宋_GB2312"/>
          <w:szCs w:val="32"/>
          <w:lang w:val="en-US"/>
        </w:rPr>
        <w:t>积极推动</w:t>
      </w:r>
      <w:r>
        <w:rPr>
          <w:rFonts w:ascii="仿宋_GB2312" w:hAnsi="仿宋_GB2312" w:eastAsia="仿宋_GB2312" w:cs="仿宋_GB2312"/>
          <w:szCs w:val="32"/>
        </w:rPr>
        <w:t>道德模范、</w:t>
      </w:r>
      <w:r>
        <w:rPr>
          <w:rFonts w:hint="eastAsia" w:ascii="仿宋_GB2312" w:hAnsi="仿宋_GB2312" w:eastAsia="仿宋_GB2312" w:cs="仿宋_GB2312"/>
          <w:szCs w:val="32"/>
          <w:lang w:val="en-US"/>
        </w:rPr>
        <w:t>好人</w:t>
      </w:r>
      <w:r>
        <w:rPr>
          <w:rFonts w:ascii="仿宋_GB2312" w:hAnsi="仿宋_GB2312" w:eastAsia="仿宋_GB2312" w:cs="仿宋_GB2312"/>
          <w:szCs w:val="32"/>
        </w:rPr>
        <w:t>典型事迹</w:t>
      </w:r>
      <w:r>
        <w:rPr>
          <w:rFonts w:hint="eastAsia" w:ascii="仿宋_GB2312" w:hAnsi="仿宋_GB2312" w:eastAsia="仿宋_GB2312" w:cs="仿宋_GB2312"/>
          <w:szCs w:val="32"/>
          <w:lang w:val="en-US"/>
        </w:rPr>
        <w:t>宣传</w:t>
      </w:r>
      <w:r>
        <w:rPr>
          <w:rFonts w:ascii="仿宋_GB2312" w:hAnsi="仿宋_GB2312" w:eastAsia="仿宋_GB2312" w:cs="仿宋_GB2312"/>
          <w:szCs w:val="32"/>
        </w:rPr>
        <w:t>，</w:t>
      </w:r>
      <w:r>
        <w:rPr>
          <w:rFonts w:hint="eastAsia" w:ascii="仿宋_GB2312" w:hAnsi="仿宋_GB2312" w:eastAsia="仿宋_GB2312" w:cs="仿宋_GB2312"/>
          <w:szCs w:val="32"/>
          <w:lang w:val="en-US"/>
        </w:rPr>
        <w:t>发挥</w:t>
      </w:r>
      <w:r>
        <w:rPr>
          <w:rFonts w:ascii="仿宋_GB2312" w:hAnsi="仿宋_GB2312" w:eastAsia="仿宋_GB2312" w:cs="仿宋_GB2312"/>
          <w:szCs w:val="32"/>
        </w:rPr>
        <w:t>先进模范</w:t>
      </w:r>
      <w:r>
        <w:rPr>
          <w:rFonts w:hint="eastAsia" w:ascii="仿宋_GB2312" w:hAnsi="仿宋_GB2312" w:eastAsia="仿宋_GB2312" w:cs="仿宋_GB2312"/>
          <w:szCs w:val="32"/>
          <w:lang w:val="en-US"/>
        </w:rPr>
        <w:t>的宣传作用</w:t>
      </w:r>
      <w:r>
        <w:rPr>
          <w:rFonts w:ascii="仿宋_GB2312" w:hAnsi="仿宋_GB2312" w:eastAsia="仿宋_GB2312" w:cs="仿宋_GB2312"/>
          <w:szCs w:val="32"/>
        </w:rPr>
        <w:t>。</w:t>
      </w:r>
    </w:p>
    <w:p w14:paraId="27BC47A0">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szCs w:val="32"/>
          <w:lang w:val="en-US"/>
        </w:rPr>
        <w:t>发展乡村特色文化产业</w:t>
      </w:r>
      <w:r>
        <w:rPr>
          <w:rStyle w:val="34"/>
          <w:rFonts w:ascii="楷体_GB2312" w:hAnsi="楷体_GB2312" w:eastAsia="楷体_GB2312" w:cs="楷体_GB2312"/>
        </w:rPr>
        <w:t>。</w:t>
      </w:r>
      <w:r>
        <w:rPr>
          <w:rFonts w:ascii="仿宋_GB2312" w:hAnsi="仿宋_GB2312" w:eastAsia="仿宋_GB2312" w:cs="仿宋_GB2312"/>
          <w:szCs w:val="32"/>
        </w:rPr>
        <w:t>加强规划引导、典型示范，</w:t>
      </w:r>
      <w:r>
        <w:rPr>
          <w:rFonts w:hint="eastAsia" w:ascii="仿宋_GB2312" w:hAnsi="仿宋_GB2312" w:eastAsia="仿宋_GB2312" w:cs="仿宋_GB2312"/>
          <w:szCs w:val="32"/>
        </w:rPr>
        <w:t>实施乡村本土文化培育计划，</w:t>
      </w:r>
      <w:r>
        <w:rPr>
          <w:rFonts w:ascii="仿宋_GB2312" w:hAnsi="仿宋_GB2312" w:eastAsia="仿宋_GB2312" w:cs="仿宋_GB2312"/>
          <w:szCs w:val="32"/>
        </w:rPr>
        <w:t>挖掘培养乡土文化本土人才，建设特色鲜明、优势突出的农耕</w:t>
      </w:r>
      <w:r>
        <w:rPr>
          <w:rFonts w:hint="eastAsia" w:ascii="仿宋_GB2312" w:hAnsi="仿宋_GB2312" w:eastAsia="仿宋_GB2312" w:cs="仿宋_GB2312"/>
          <w:szCs w:val="32"/>
        </w:rPr>
        <w:t>、游牧</w:t>
      </w:r>
      <w:r>
        <w:rPr>
          <w:rFonts w:ascii="仿宋_GB2312" w:hAnsi="仿宋_GB2312" w:eastAsia="仿宋_GB2312" w:cs="仿宋_GB2312"/>
          <w:szCs w:val="32"/>
        </w:rPr>
        <w:t>文化产业展示区，打造</w:t>
      </w:r>
      <w:r>
        <w:rPr>
          <w:rFonts w:hint="eastAsia" w:ascii="仿宋_GB2312" w:hAnsi="仿宋_GB2312" w:eastAsia="仿宋_GB2312" w:cs="仿宋_GB2312"/>
          <w:szCs w:val="32"/>
          <w:lang w:val="en-US"/>
        </w:rPr>
        <w:t>乡村</w:t>
      </w:r>
      <w:r>
        <w:rPr>
          <w:rFonts w:ascii="仿宋_GB2312" w:hAnsi="仿宋_GB2312" w:eastAsia="仿宋_GB2312" w:cs="仿宋_GB2312"/>
          <w:szCs w:val="32"/>
        </w:rPr>
        <w:t>文化产业特色村和文化产业群。积极促进文化资源与现代消费需求有效对接，深挖乡村独特魅力和文化底蕴，</w:t>
      </w:r>
      <w:r>
        <w:rPr>
          <w:rFonts w:hint="eastAsia" w:ascii="仿宋_GB2312" w:hAnsi="仿宋_GB2312" w:eastAsia="仿宋_GB2312" w:cs="仿宋_GB2312"/>
          <w:szCs w:val="32"/>
          <w:lang w:val="en-US"/>
        </w:rPr>
        <w:t>丰富优质产品供给</w:t>
      </w:r>
      <w:r>
        <w:rPr>
          <w:rFonts w:ascii="仿宋_GB2312" w:hAnsi="仿宋_GB2312" w:eastAsia="仿宋_GB2312" w:cs="仿宋_GB2312"/>
          <w:szCs w:val="32"/>
        </w:rPr>
        <w:t>，</w:t>
      </w:r>
      <w:r>
        <w:rPr>
          <w:rFonts w:hint="eastAsia" w:ascii="仿宋_GB2312" w:hAnsi="仿宋_GB2312" w:eastAsia="仿宋_GB2312" w:cs="仿宋_GB2312"/>
          <w:szCs w:val="32"/>
          <w:lang w:val="en-US"/>
        </w:rPr>
        <w:t>推动</w:t>
      </w:r>
      <w:r>
        <w:rPr>
          <w:rFonts w:ascii="仿宋_GB2312" w:hAnsi="仿宋_GB2312" w:eastAsia="仿宋_GB2312" w:cs="仿宋_GB2312"/>
          <w:szCs w:val="32"/>
        </w:rPr>
        <w:t>文化、旅游与其他产业深度融合、创新发展。</w:t>
      </w:r>
    </w:p>
    <w:p w14:paraId="04B28463">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szCs w:val="32"/>
          <w:lang w:val="en-US"/>
        </w:rPr>
        <w:t>丰富乡村文化娱乐</w:t>
      </w:r>
      <w:r>
        <w:rPr>
          <w:rStyle w:val="34"/>
          <w:rFonts w:hint="eastAsia" w:ascii="楷体_GB2312" w:hAnsi="楷体_GB2312" w:eastAsia="楷体_GB2312" w:cs="楷体_GB2312"/>
          <w:lang w:val="en-US"/>
        </w:rPr>
        <w:t>活动</w:t>
      </w:r>
      <w:r>
        <w:rPr>
          <w:rStyle w:val="34"/>
          <w:rFonts w:ascii="楷体_GB2312" w:hAnsi="楷体_GB2312" w:eastAsia="楷体_GB2312" w:cs="楷体_GB2312"/>
        </w:rPr>
        <w:t>。</w:t>
      </w:r>
      <w:r>
        <w:rPr>
          <w:rFonts w:hint="eastAsia" w:ascii="仿宋_GB2312" w:hAnsi="仿宋_GB2312" w:eastAsia="仿宋_GB2312" w:cs="仿宋_GB2312"/>
          <w:szCs w:val="32"/>
          <w:lang w:val="en-US"/>
        </w:rPr>
        <w:t>扩大全旗文艺作品内容和表现形式</w:t>
      </w:r>
      <w:r>
        <w:rPr>
          <w:rFonts w:ascii="仿宋_GB2312" w:hAnsi="仿宋_GB2312" w:eastAsia="仿宋_GB2312" w:cs="仿宋_GB2312"/>
          <w:szCs w:val="32"/>
        </w:rPr>
        <w:t>，</w:t>
      </w:r>
      <w:r>
        <w:rPr>
          <w:rFonts w:hint="eastAsia" w:ascii="仿宋_GB2312" w:hAnsi="仿宋_GB2312" w:eastAsia="仿宋_GB2312" w:cs="仿宋_GB2312"/>
          <w:szCs w:val="32"/>
        </w:rPr>
        <w:t>鼓励</w:t>
      </w:r>
      <w:r>
        <w:rPr>
          <w:rFonts w:ascii="仿宋_GB2312" w:hAnsi="仿宋_GB2312" w:eastAsia="仿宋_GB2312" w:cs="仿宋_GB2312"/>
          <w:szCs w:val="32"/>
        </w:rPr>
        <w:t>“三农”题材文艺创作生产，</w:t>
      </w:r>
      <w:r>
        <w:rPr>
          <w:rFonts w:hint="eastAsia" w:ascii="仿宋_GB2312" w:hAnsi="仿宋_GB2312" w:eastAsia="仿宋_GB2312" w:cs="仿宋_GB2312"/>
          <w:szCs w:val="32"/>
        </w:rPr>
        <w:t>大力支持展现新时代美丽、和谐、幸福乡村等主题</w:t>
      </w:r>
      <w:r>
        <w:rPr>
          <w:rFonts w:hint="eastAsia" w:ascii="仿宋_GB2312" w:hAnsi="仿宋_GB2312" w:eastAsia="仿宋_GB2312" w:cs="仿宋_GB2312"/>
          <w:szCs w:val="32"/>
          <w:lang w:val="en-US"/>
        </w:rPr>
        <w:t>文艺作品创作</w:t>
      </w:r>
      <w:r>
        <w:rPr>
          <w:rFonts w:ascii="仿宋_GB2312" w:hAnsi="仿宋_GB2312" w:eastAsia="仿宋_GB2312" w:cs="仿宋_GB2312"/>
          <w:szCs w:val="32"/>
        </w:rPr>
        <w:t>。</w:t>
      </w:r>
      <w:r>
        <w:rPr>
          <w:rFonts w:hint="eastAsia" w:ascii="仿宋_GB2312" w:hAnsi="仿宋_GB2312" w:eastAsia="仿宋_GB2312" w:cs="仿宋_GB2312"/>
          <w:szCs w:val="32"/>
          <w:lang w:val="en-US"/>
        </w:rPr>
        <w:t>广泛开展乡村文化娱乐活动</w:t>
      </w:r>
      <w:r>
        <w:rPr>
          <w:rFonts w:ascii="仿宋_GB2312" w:hAnsi="仿宋_GB2312" w:eastAsia="仿宋_GB2312" w:cs="仿宋_GB2312"/>
          <w:szCs w:val="32"/>
        </w:rPr>
        <w:t>，</w:t>
      </w:r>
      <w:r>
        <w:rPr>
          <w:rFonts w:hint="eastAsia" w:ascii="仿宋_GB2312" w:hAnsi="仿宋_GB2312" w:eastAsia="仿宋_GB2312" w:cs="仿宋_GB2312"/>
          <w:szCs w:val="32"/>
          <w:lang w:val="en-US"/>
        </w:rPr>
        <w:t>多样化</w:t>
      </w:r>
      <w:r>
        <w:rPr>
          <w:rFonts w:ascii="仿宋_GB2312" w:hAnsi="仿宋_GB2312" w:eastAsia="仿宋_GB2312" w:cs="仿宋_GB2312"/>
          <w:szCs w:val="32"/>
        </w:rPr>
        <w:t>举办文艺演出、</w:t>
      </w:r>
      <w:r>
        <w:rPr>
          <w:rFonts w:hint="eastAsia" w:ascii="仿宋_GB2312" w:hAnsi="仿宋_GB2312" w:eastAsia="仿宋_GB2312" w:cs="仿宋_GB2312"/>
          <w:szCs w:val="32"/>
          <w:lang w:val="en-US"/>
        </w:rPr>
        <w:t>乡村舞会</w:t>
      </w:r>
      <w:r>
        <w:rPr>
          <w:rFonts w:ascii="仿宋_GB2312" w:hAnsi="仿宋_GB2312" w:eastAsia="仿宋_GB2312" w:cs="仿宋_GB2312"/>
          <w:szCs w:val="32"/>
        </w:rPr>
        <w:t>、科技培训班、读书交流会等</w:t>
      </w:r>
      <w:r>
        <w:rPr>
          <w:rFonts w:hint="eastAsia" w:ascii="仿宋_GB2312" w:hAnsi="仿宋_GB2312" w:eastAsia="仿宋_GB2312" w:cs="仿宋_GB2312"/>
          <w:szCs w:val="32"/>
        </w:rPr>
        <w:t>群体性文化活动</w:t>
      </w:r>
      <w:r>
        <w:rPr>
          <w:rFonts w:ascii="仿宋_GB2312" w:hAnsi="仿宋_GB2312" w:eastAsia="仿宋_GB2312" w:cs="仿宋_GB2312"/>
          <w:szCs w:val="32"/>
        </w:rPr>
        <w:t>，</w:t>
      </w:r>
      <w:r>
        <w:rPr>
          <w:rFonts w:hint="eastAsia" w:ascii="仿宋_GB2312" w:hAnsi="仿宋_GB2312" w:eastAsia="仿宋_GB2312" w:cs="仿宋_GB2312"/>
          <w:szCs w:val="32"/>
          <w:lang w:val="en-US"/>
        </w:rPr>
        <w:t>丰富广大群众的精神文化生活</w:t>
      </w:r>
      <w:r>
        <w:rPr>
          <w:rFonts w:ascii="仿宋_GB2312" w:hAnsi="仿宋_GB2312" w:eastAsia="仿宋_GB2312" w:cs="仿宋_GB2312"/>
          <w:szCs w:val="32"/>
        </w:rPr>
        <w:t>。</w:t>
      </w:r>
    </w:p>
    <w:p w14:paraId="56AA5B6D">
      <w:pPr>
        <w:pStyle w:val="4"/>
        <w:numPr>
          <w:ilvl w:val="0"/>
          <w:numId w:val="3"/>
        </w:numPr>
        <w:spacing w:line="600" w:lineRule="exact"/>
        <w:ind w:left="1083" w:hanging="1083"/>
        <w:rPr>
          <w:rFonts w:ascii="楷体_GB2312" w:hAnsi="楷体_GB2312" w:eastAsia="楷体_GB2312" w:cs="楷体_GB2312"/>
          <w:lang w:val="en-US"/>
        </w:rPr>
      </w:pPr>
      <w:bookmarkStart w:id="608" w:name="_Toc26542"/>
      <w:bookmarkStart w:id="609" w:name="_Toc1308006330"/>
      <w:r>
        <w:rPr>
          <w:rFonts w:hint="eastAsia" w:ascii="楷体_GB2312" w:hAnsi="楷体_GB2312" w:eastAsia="楷体_GB2312" w:cs="楷体_GB2312"/>
          <w:lang w:val="en-US"/>
        </w:rPr>
        <w:t>加强美丽乡村建设</w:t>
      </w:r>
      <w:r>
        <w:rPr>
          <w:rFonts w:ascii="楷体_GB2312" w:hAnsi="楷体_GB2312" w:eastAsia="楷体_GB2312" w:cs="楷体_GB2312"/>
        </w:rPr>
        <w:t>，</w:t>
      </w:r>
      <w:r>
        <w:rPr>
          <w:rFonts w:hint="eastAsia" w:ascii="楷体_GB2312" w:hAnsi="楷体_GB2312" w:eastAsia="楷体_GB2312" w:cs="楷体_GB2312"/>
          <w:lang w:val="en-US"/>
        </w:rPr>
        <w:t>推动乡村生态振兴</w:t>
      </w:r>
      <w:bookmarkEnd w:id="608"/>
      <w:bookmarkEnd w:id="609"/>
    </w:p>
    <w:p w14:paraId="60999254">
      <w:pPr>
        <w:spacing w:line="600" w:lineRule="exact"/>
        <w:ind w:firstLine="640"/>
        <w:rPr>
          <w:rFonts w:ascii="仿宋_GB2312" w:hAnsi="仿宋_GB2312" w:eastAsia="仿宋_GB2312" w:cs="仿宋_GB2312"/>
          <w:szCs w:val="32"/>
          <w:lang w:val="en-US"/>
        </w:rPr>
      </w:pPr>
      <w:r>
        <w:rPr>
          <w:rFonts w:hint="eastAsia" w:ascii="仿宋_GB2312" w:hAnsi="仿宋_GB2312" w:eastAsia="仿宋_GB2312" w:cs="仿宋_GB2312"/>
          <w:szCs w:val="32"/>
          <w:lang w:val="en-US"/>
        </w:rPr>
        <w:t>全面加强乡村基础设施建设</w:t>
      </w:r>
      <w:r>
        <w:rPr>
          <w:rFonts w:ascii="仿宋_GB2312" w:hAnsi="仿宋_GB2312" w:eastAsia="仿宋_GB2312" w:cs="仿宋_GB2312"/>
          <w:szCs w:val="32"/>
        </w:rPr>
        <w:t>，</w:t>
      </w:r>
      <w:r>
        <w:rPr>
          <w:rFonts w:hint="eastAsia" w:ascii="仿宋_GB2312" w:hAnsi="仿宋_GB2312" w:eastAsia="仿宋_GB2312" w:cs="仿宋_GB2312"/>
          <w:szCs w:val="32"/>
          <w:lang w:val="en-US"/>
        </w:rPr>
        <w:t>持续提升乡村人居环境</w:t>
      </w:r>
      <w:r>
        <w:rPr>
          <w:rFonts w:ascii="仿宋_GB2312" w:hAnsi="仿宋_GB2312" w:eastAsia="仿宋_GB2312" w:cs="仿宋_GB2312"/>
          <w:szCs w:val="32"/>
        </w:rPr>
        <w:t>，</w:t>
      </w:r>
      <w:r>
        <w:rPr>
          <w:rFonts w:hint="eastAsia" w:ascii="仿宋_GB2312" w:hAnsi="仿宋_GB2312" w:eastAsia="仿宋_GB2312" w:cs="仿宋_GB2312"/>
          <w:szCs w:val="32"/>
          <w:lang w:val="en-US"/>
        </w:rPr>
        <w:t>建设生活环境整洁优美、生态系统稳定健康、人与自然和谐共生的生态宜居美丽乡村。</w:t>
      </w:r>
    </w:p>
    <w:p w14:paraId="1B1F68FD">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完善乡村基础设施</w:t>
      </w:r>
      <w:r>
        <w:rPr>
          <w:rFonts w:hint="eastAsia" w:ascii="楷体_GB2312" w:hAnsi="楷体_GB2312" w:eastAsia="楷体_GB2312" w:cs="楷体_GB2312"/>
          <w:b/>
          <w:bCs/>
        </w:rPr>
        <w:t>。</w:t>
      </w:r>
      <w:r>
        <w:rPr>
          <w:rFonts w:hint="eastAsia" w:ascii="仿宋_GB2312" w:hAnsi="仿宋_GB2312" w:eastAsia="仿宋_GB2312" w:cs="仿宋_GB2312"/>
          <w:szCs w:val="32"/>
        </w:rPr>
        <w:t>加快补齐乡村基础设施短板，持续完善提升乡村水、电、路、气、信息等基础设施</w:t>
      </w:r>
      <w:r>
        <w:rPr>
          <w:rFonts w:ascii="仿宋_GB2312" w:hAnsi="仿宋_GB2312" w:eastAsia="仿宋_GB2312" w:cs="仿宋_GB2312"/>
          <w:szCs w:val="32"/>
        </w:rPr>
        <w:t>。加强农村水利设施网络建设，构建大中小微结合、骨干和田间衔接、长期发挥效益的农村水利基础设施</w:t>
      </w:r>
      <w:r>
        <w:rPr>
          <w:rFonts w:hint="eastAsia" w:ascii="仿宋_GB2312" w:hAnsi="仿宋_GB2312" w:eastAsia="仿宋_GB2312" w:cs="仿宋_GB2312"/>
          <w:szCs w:val="32"/>
        </w:rPr>
        <w:t>体系</w:t>
      </w:r>
      <w:r>
        <w:rPr>
          <w:rFonts w:ascii="仿宋_GB2312" w:hAnsi="仿宋_GB2312" w:eastAsia="仿宋_GB2312" w:cs="仿宋_GB2312"/>
          <w:szCs w:val="32"/>
        </w:rPr>
        <w:t>，提高</w:t>
      </w:r>
      <w:r>
        <w:rPr>
          <w:rFonts w:hint="eastAsia" w:ascii="仿宋_GB2312" w:hAnsi="仿宋_GB2312" w:eastAsia="仿宋_GB2312" w:cs="仿宋_GB2312"/>
          <w:szCs w:val="32"/>
        </w:rPr>
        <w:t>农村</w:t>
      </w:r>
      <w:r>
        <w:rPr>
          <w:rFonts w:ascii="仿宋_GB2312" w:hAnsi="仿宋_GB2312" w:eastAsia="仿宋_GB2312" w:cs="仿宋_GB2312"/>
          <w:szCs w:val="32"/>
        </w:rPr>
        <w:t>节水供水和防洪减灾能力</w:t>
      </w:r>
      <w:r>
        <w:rPr>
          <w:rFonts w:hint="eastAsia" w:ascii="仿宋_GB2312" w:hAnsi="仿宋_GB2312" w:eastAsia="仿宋_GB2312" w:cs="仿宋_GB2312"/>
          <w:szCs w:val="32"/>
        </w:rPr>
        <w:t>；</w:t>
      </w:r>
      <w:r>
        <w:rPr>
          <w:rFonts w:ascii="仿宋_GB2312" w:hAnsi="仿宋_GB2312" w:eastAsia="仿宋_GB2312" w:cs="仿宋_GB2312"/>
          <w:szCs w:val="32"/>
        </w:rPr>
        <w:t>加强水利薄弱环节建设，统筹推进中小型水源工程和抗旱应急</w:t>
      </w:r>
      <w:r>
        <w:rPr>
          <w:rFonts w:hint="eastAsia" w:ascii="仿宋_GB2312" w:hAnsi="仿宋_GB2312" w:eastAsia="仿宋_GB2312" w:cs="仿宋_GB2312"/>
          <w:szCs w:val="32"/>
        </w:rPr>
        <w:t>工程</w:t>
      </w:r>
      <w:r>
        <w:rPr>
          <w:rFonts w:ascii="仿宋_GB2312" w:hAnsi="仿宋_GB2312" w:eastAsia="仿宋_GB2312" w:cs="仿宋_GB2312"/>
          <w:szCs w:val="32"/>
        </w:rPr>
        <w:t>建设</w:t>
      </w:r>
      <w:r>
        <w:rPr>
          <w:rFonts w:hint="eastAsia" w:ascii="仿宋_GB2312" w:hAnsi="仿宋_GB2312" w:eastAsia="仿宋_GB2312" w:cs="仿宋_GB2312"/>
          <w:szCs w:val="32"/>
        </w:rPr>
        <w:t>；</w:t>
      </w:r>
      <w:r>
        <w:rPr>
          <w:rFonts w:ascii="仿宋_GB2312" w:hAnsi="仿宋_GB2312" w:eastAsia="仿宋_GB2312" w:cs="仿宋_GB2312"/>
          <w:szCs w:val="32"/>
        </w:rPr>
        <w:t>巩固提升农村饮水安全保障水平，开展</w:t>
      </w:r>
      <w:r>
        <w:rPr>
          <w:rFonts w:hint="eastAsia" w:ascii="仿宋_GB2312" w:hAnsi="仿宋_GB2312" w:eastAsia="仿宋_GB2312" w:cs="仿宋_GB2312"/>
          <w:szCs w:val="32"/>
          <w:lang w:val="en-US"/>
        </w:rPr>
        <w:t>农村灌区</w:t>
      </w:r>
      <w:r>
        <w:rPr>
          <w:rFonts w:ascii="仿宋_GB2312" w:hAnsi="仿宋_GB2312" w:eastAsia="仿宋_GB2312" w:cs="仿宋_GB2312"/>
          <w:szCs w:val="32"/>
        </w:rPr>
        <w:t>节水改造与现代化建设。</w:t>
      </w:r>
      <w:r>
        <w:rPr>
          <w:rFonts w:hint="eastAsia" w:ascii="仿宋_GB2312" w:hAnsi="仿宋_GB2312" w:eastAsia="仿宋_GB2312" w:cs="仿宋_GB2312"/>
          <w:szCs w:val="32"/>
        </w:rPr>
        <w:t>完善村庄公共照明设施，实施农村路灯照明工程，有序推进村庄出入口、主要内部通道和公共活动场所等重点区域照明设施建设。加快推进通村道路、入户道路建设，集中实施以村村通、村内通、巷道通“三通”工程为重点的农村道路网络建设，做好农村公路安全防护和村庄道路改造</w:t>
      </w:r>
      <w:r>
        <w:rPr>
          <w:rFonts w:ascii="仿宋_GB2312" w:hAnsi="仿宋_GB2312" w:eastAsia="仿宋_GB2312" w:cs="仿宋_GB2312"/>
          <w:szCs w:val="32"/>
        </w:rPr>
        <w:t>，</w:t>
      </w:r>
      <w:r>
        <w:rPr>
          <w:rFonts w:hint="eastAsia" w:ascii="仿宋_GB2312" w:hAnsi="仿宋_GB2312" w:eastAsia="仿宋_GB2312" w:cs="仿宋_GB2312"/>
          <w:szCs w:val="32"/>
        </w:rPr>
        <w:t>改善农村出行条件。推进“气化达拉特”建设，逐步实现天然气管网覆盖全旗苏木镇。搭建全旗乡村智慧平台，夯实乡村信息化基础</w:t>
      </w:r>
      <w:r>
        <w:rPr>
          <w:rFonts w:ascii="仿宋_GB2312" w:hAnsi="仿宋_GB2312" w:eastAsia="仿宋_GB2312" w:cs="仿宋_GB2312"/>
          <w:szCs w:val="32"/>
        </w:rPr>
        <w:t>，</w:t>
      </w:r>
      <w:r>
        <w:rPr>
          <w:rFonts w:hint="eastAsia" w:ascii="仿宋_GB2312" w:hAnsi="仿宋_GB2312" w:eastAsia="仿宋_GB2312" w:cs="仿宋_GB2312"/>
          <w:szCs w:val="32"/>
        </w:rPr>
        <w:t>加快互联网与农村公共交通、乡村管理、基层治理等方面的深度融合，不断提升乡村建设和管理服务的科技化、数字化水平，实现乡村建设“一幅画”、公共服务“一张图”。</w:t>
      </w:r>
      <w:r>
        <w:rPr>
          <w:rFonts w:ascii="仿宋_GB2312" w:hAnsi="仿宋_GB2312" w:eastAsia="仿宋_GB2312" w:cs="仿宋_GB2312"/>
          <w:szCs w:val="32"/>
        </w:rPr>
        <w:t>加快构建农村物流</w:t>
      </w:r>
      <w:r>
        <w:rPr>
          <w:rFonts w:hint="eastAsia" w:ascii="仿宋_GB2312" w:hAnsi="仿宋_GB2312" w:eastAsia="仿宋_GB2312" w:cs="仿宋_GB2312"/>
          <w:szCs w:val="32"/>
        </w:rPr>
        <w:t>设施</w:t>
      </w:r>
      <w:r>
        <w:rPr>
          <w:rFonts w:ascii="仿宋_GB2312" w:hAnsi="仿宋_GB2312" w:eastAsia="仿宋_GB2312" w:cs="仿宋_GB2312"/>
          <w:szCs w:val="32"/>
        </w:rPr>
        <w:t>网络，鼓励商贸、邮政、快递、供销、运输等企业加</w:t>
      </w:r>
      <w:r>
        <w:rPr>
          <w:rFonts w:hint="eastAsia" w:ascii="仿宋_GB2312" w:hAnsi="仿宋_GB2312" w:eastAsia="仿宋_GB2312" w:cs="仿宋_GB2312"/>
          <w:szCs w:val="32"/>
        </w:rPr>
        <w:t>强</w:t>
      </w:r>
      <w:r>
        <w:rPr>
          <w:rFonts w:ascii="仿宋_GB2312" w:hAnsi="仿宋_GB2312" w:eastAsia="仿宋_GB2312" w:cs="仿宋_GB2312"/>
          <w:szCs w:val="32"/>
        </w:rPr>
        <w:t>农村</w:t>
      </w:r>
      <w:r>
        <w:rPr>
          <w:rFonts w:hint="eastAsia" w:ascii="仿宋_GB2312" w:hAnsi="仿宋_GB2312" w:eastAsia="仿宋_GB2312" w:cs="仿宋_GB2312"/>
          <w:szCs w:val="32"/>
        </w:rPr>
        <w:t>牧区基础</w:t>
      </w:r>
      <w:r>
        <w:rPr>
          <w:rFonts w:ascii="仿宋_GB2312" w:hAnsi="仿宋_GB2312" w:eastAsia="仿宋_GB2312" w:cs="仿宋_GB2312"/>
          <w:szCs w:val="32"/>
        </w:rPr>
        <w:t>设施</w:t>
      </w:r>
      <w:r>
        <w:rPr>
          <w:rFonts w:hint="eastAsia" w:ascii="仿宋_GB2312" w:hAnsi="仿宋_GB2312" w:eastAsia="仿宋_GB2312" w:cs="仿宋_GB2312"/>
          <w:szCs w:val="32"/>
        </w:rPr>
        <w:t>主干</w:t>
      </w:r>
      <w:r>
        <w:rPr>
          <w:rFonts w:ascii="仿宋_GB2312" w:hAnsi="仿宋_GB2312" w:eastAsia="仿宋_GB2312" w:cs="仿宋_GB2312"/>
          <w:szCs w:val="32"/>
        </w:rPr>
        <w:t>网络</w:t>
      </w:r>
      <w:r>
        <w:rPr>
          <w:rFonts w:hint="eastAsia" w:ascii="仿宋_GB2312" w:hAnsi="仿宋_GB2312" w:eastAsia="仿宋_GB2312" w:cs="仿宋_GB2312"/>
          <w:szCs w:val="32"/>
        </w:rPr>
        <w:t>建设，</w:t>
      </w:r>
      <w:r>
        <w:rPr>
          <w:rFonts w:ascii="仿宋_GB2312" w:hAnsi="仿宋_GB2312" w:eastAsia="仿宋_GB2312" w:cs="仿宋_GB2312"/>
          <w:szCs w:val="32"/>
        </w:rPr>
        <w:t>加快完善面向</w:t>
      </w:r>
      <w:r>
        <w:rPr>
          <w:rFonts w:hint="eastAsia" w:ascii="仿宋_GB2312" w:hAnsi="仿宋_GB2312" w:eastAsia="仿宋_GB2312" w:cs="仿宋_GB2312"/>
          <w:szCs w:val="32"/>
        </w:rPr>
        <w:t>村社居民</w:t>
      </w:r>
      <w:r>
        <w:rPr>
          <w:rFonts w:ascii="仿宋_GB2312" w:hAnsi="仿宋_GB2312" w:eastAsia="仿宋_GB2312" w:cs="仿宋_GB2312"/>
          <w:szCs w:val="32"/>
        </w:rPr>
        <w:t>的共同配送中心</w:t>
      </w:r>
      <w:r>
        <w:rPr>
          <w:rFonts w:hint="eastAsia" w:ascii="仿宋_GB2312" w:hAnsi="仿宋_GB2312" w:eastAsia="仿宋_GB2312" w:cs="仿宋_GB2312"/>
          <w:szCs w:val="32"/>
        </w:rPr>
        <w:t>等</w:t>
      </w:r>
      <w:r>
        <w:rPr>
          <w:rFonts w:ascii="仿宋_GB2312" w:hAnsi="仿宋_GB2312" w:eastAsia="仿宋_GB2312" w:cs="仿宋_GB2312"/>
          <w:szCs w:val="32"/>
        </w:rPr>
        <w:t>物流末端网络。</w:t>
      </w:r>
    </w:p>
    <w:p w14:paraId="105D232A">
      <w:pPr>
        <w:spacing w:line="600" w:lineRule="exact"/>
        <w:ind w:firstLine="643"/>
        <w:rPr>
          <w:rFonts w:ascii="仿宋_GB2312" w:hAnsi="仿宋_GB2312" w:eastAsia="仿宋_GB2312" w:cs="仿宋_GB2312"/>
          <w:szCs w:val="32"/>
        </w:rPr>
      </w:pPr>
      <w:r>
        <w:rPr>
          <w:rFonts w:hint="eastAsia" w:ascii="楷体_GB2312" w:hAnsi="仿宋_GB2312" w:eastAsia="楷体_GB2312" w:cs="仿宋_GB2312"/>
          <w:b/>
          <w:szCs w:val="32"/>
        </w:rPr>
        <w:t>全面改善村容村貌。</w:t>
      </w:r>
      <w:r>
        <w:rPr>
          <w:rFonts w:hint="eastAsia" w:ascii="仿宋_GB2312" w:hAnsi="仿宋_GB2312" w:eastAsia="仿宋_GB2312" w:cs="仿宋_GB2312"/>
          <w:szCs w:val="32"/>
        </w:rPr>
        <w:t>坚持以垃圾处理、污水治理、农村户改厕和村容村貌提升为重点，持续改善农村人居环境，确保高质量通过农村人居环境整治三年行动自治区级验收。</w:t>
      </w:r>
      <w:r>
        <w:rPr>
          <w:rFonts w:ascii="仿宋_GB2312" w:hAnsi="仿宋_GB2312" w:eastAsia="仿宋_GB2312" w:cs="仿宋_GB2312"/>
          <w:szCs w:val="32"/>
        </w:rPr>
        <w:t>科学规划村庄</w:t>
      </w:r>
      <w:r>
        <w:rPr>
          <w:rFonts w:hint="eastAsia" w:ascii="仿宋_GB2312" w:hAnsi="仿宋_GB2312" w:eastAsia="仿宋_GB2312" w:cs="仿宋_GB2312"/>
          <w:szCs w:val="32"/>
        </w:rPr>
        <w:t>及居民</w:t>
      </w:r>
      <w:r>
        <w:rPr>
          <w:rFonts w:ascii="仿宋_GB2312" w:hAnsi="仿宋_GB2312" w:eastAsia="仿宋_GB2312" w:cs="仿宋_GB2312"/>
          <w:szCs w:val="32"/>
        </w:rPr>
        <w:t>建筑</w:t>
      </w:r>
      <w:r>
        <w:rPr>
          <w:rFonts w:hint="eastAsia" w:ascii="仿宋_GB2312" w:hAnsi="仿宋_GB2312" w:eastAsia="仿宋_GB2312" w:cs="仿宋_GB2312"/>
          <w:szCs w:val="32"/>
        </w:rPr>
        <w:t>物</w:t>
      </w:r>
      <w:r>
        <w:rPr>
          <w:rFonts w:ascii="仿宋_GB2312" w:hAnsi="仿宋_GB2312" w:eastAsia="仿宋_GB2312" w:cs="仿宋_GB2312"/>
          <w:szCs w:val="32"/>
        </w:rPr>
        <w:t>布局，</w:t>
      </w:r>
      <w:r>
        <w:rPr>
          <w:rFonts w:hint="eastAsia" w:ascii="仿宋_GB2312" w:hAnsi="仿宋_GB2312" w:eastAsia="仿宋_GB2312" w:cs="仿宋_GB2312"/>
          <w:szCs w:val="32"/>
        </w:rPr>
        <w:t>全力推进乡村移民迁建和集中集聚工程，</w:t>
      </w:r>
      <w:r>
        <w:rPr>
          <w:rFonts w:hint="eastAsia" w:ascii="仿宋_GB2312" w:hAnsi="仿宋_GB2312" w:eastAsia="仿宋_GB2312" w:cs="仿宋_GB2312"/>
          <w:szCs w:val="32"/>
          <w:lang w:val="en-US"/>
        </w:rPr>
        <w:t>新建改造一批具有</w:t>
      </w:r>
      <w:r>
        <w:rPr>
          <w:rFonts w:hint="eastAsia" w:ascii="仿宋_GB2312" w:hAnsi="仿宋_GB2312" w:eastAsia="仿宋_GB2312" w:cs="仿宋_GB2312"/>
          <w:szCs w:val="32"/>
        </w:rPr>
        <w:t>地域</w:t>
      </w:r>
      <w:r>
        <w:rPr>
          <w:rFonts w:hint="eastAsia" w:ascii="仿宋_GB2312" w:hAnsi="仿宋_GB2312" w:eastAsia="仿宋_GB2312" w:cs="仿宋_GB2312"/>
          <w:szCs w:val="32"/>
          <w:lang w:val="en-US"/>
        </w:rPr>
        <w:t>特色和民族特色的村庄和农房。</w:t>
      </w:r>
      <w:r>
        <w:rPr>
          <w:rFonts w:hint="eastAsia" w:ascii="仿宋_GB2312" w:hAnsi="仿宋_GB2312" w:eastAsia="仿宋_GB2312" w:cs="仿宋_GB2312"/>
          <w:szCs w:val="32"/>
        </w:rPr>
        <w:t>全面加强乡村绿化美化，大力</w:t>
      </w:r>
      <w:r>
        <w:rPr>
          <w:rFonts w:hint="eastAsia" w:ascii="仿宋_GB2312" w:hAnsi="PingFang SC" w:eastAsia="仿宋_GB2312"/>
          <w:szCs w:val="32"/>
        </w:rPr>
        <w:t>推进</w:t>
      </w:r>
      <w:r>
        <w:rPr>
          <w:rFonts w:hint="eastAsia" w:ascii="仿宋_GB2312" w:hAnsi="仿宋_GB2312" w:eastAsia="仿宋_GB2312" w:cs="仿宋_GB2312"/>
          <w:szCs w:val="32"/>
        </w:rPr>
        <w:t>乡村</w:t>
      </w:r>
      <w:r>
        <w:rPr>
          <w:rFonts w:hint="eastAsia" w:ascii="仿宋_GB2312" w:hAnsi="PingFang SC" w:eastAsia="仿宋_GB2312"/>
          <w:szCs w:val="32"/>
        </w:rPr>
        <w:t>拆违治乱，统筹发动群众清理房前屋后垃圾、杂草、杂物，鼓励乡村</w:t>
      </w:r>
      <w:r>
        <w:rPr>
          <w:rFonts w:hint="eastAsia" w:ascii="仿宋_GB2312" w:hAnsi="Arial" w:eastAsia="仿宋_GB2312" w:cs="Arial"/>
          <w:szCs w:val="32"/>
          <w:shd w:val="clear" w:color="auto" w:fill="FFFFFF"/>
        </w:rPr>
        <w:t>利用边角地、空闲地、撂荒地、拆违地等见缝插绿，</w:t>
      </w:r>
      <w:r>
        <w:rPr>
          <w:rFonts w:hint="eastAsia" w:ascii="仿宋_GB2312" w:hAnsi="PingFang SC" w:eastAsia="仿宋_GB2312"/>
          <w:szCs w:val="32"/>
        </w:rPr>
        <w:t>建设游园、菜园、果园和</w:t>
      </w:r>
      <w:r>
        <w:rPr>
          <w:rFonts w:hint="eastAsia" w:ascii="仿宋_GB2312" w:hAnsi="Arial" w:eastAsia="仿宋_GB2312" w:cs="Arial"/>
          <w:szCs w:val="32"/>
          <w:shd w:val="clear" w:color="auto" w:fill="FFFFFF"/>
        </w:rPr>
        <w:t>供村民休闲娱乐的小微绿化公园、公共绿地及</w:t>
      </w:r>
      <w:r>
        <w:rPr>
          <w:rFonts w:hint="eastAsia" w:ascii="仿宋_GB2312" w:hAnsi="仿宋_GB2312" w:eastAsia="仿宋_GB2312" w:cs="仿宋_GB2312"/>
          <w:szCs w:val="32"/>
        </w:rPr>
        <w:t>乡村特色景观。</w:t>
      </w:r>
      <w:r>
        <w:rPr>
          <w:rFonts w:hint="eastAsia" w:ascii="仿宋_GB2312" w:hAnsi="PingFang SC" w:eastAsia="仿宋_GB2312"/>
          <w:szCs w:val="32"/>
        </w:rPr>
        <w:t>聚焦群众所想所需所盼，大力实施以改庭院、改厨房、改厕所、煤改电、煤改气为主要内容的“家园革命”，打造美丽庭院，提升乡村“颜值”，实现乡村人居环境从“脏、乱、差”到“净、畅、美”的转变。</w:t>
      </w:r>
      <w:r>
        <w:rPr>
          <w:rFonts w:hint="eastAsia" w:ascii="仿宋_GB2312" w:hAnsi="仿宋_GB2312" w:eastAsia="仿宋_GB2312" w:cs="仿宋_GB2312"/>
          <w:szCs w:val="32"/>
        </w:rPr>
        <w:t>到2025年，完成农村户改厕10640户，建成农村人居环境示范村40个，全旗村庄绿化率达到32%以上。持续推进农村生活污水和生活垃圾治理，推动城镇污水管网向周边村庄延伸覆盖，到2025年，建成“户集、村收、镇处理”的环卫一体化体系，农村生活垃圾无害化处理实现全覆盖。注重保护传统村落和乡村风貌，因地制宜建设乡愁博物馆、民俗馆、非遗工坊等设施，为乡村建设筑牢文化根基，将文化资源优势更好的转化为经济优势。</w:t>
      </w:r>
    </w:p>
    <w:p w14:paraId="6B51390A">
      <w:pPr>
        <w:pStyle w:val="4"/>
        <w:spacing w:line="600" w:lineRule="exact"/>
        <w:rPr>
          <w:lang w:val="en-US"/>
        </w:rPr>
      </w:pPr>
      <w:bookmarkStart w:id="610" w:name="_Toc11554"/>
      <w:r>
        <w:rPr>
          <w:rFonts w:hint="eastAsia" w:ascii="楷体_GB2312" w:hAnsi="仿宋_GB2312" w:eastAsia="楷体_GB2312" w:cs="仿宋_GB2312"/>
        </w:rPr>
        <w:t>第五节</w:t>
      </w:r>
      <w:r>
        <w:rPr>
          <w:rStyle w:val="34"/>
          <w:rFonts w:hint="eastAsia" w:ascii="楷体_GB2312" w:hAnsi="楷体_GB2312" w:eastAsia="楷体_GB2312" w:cs="楷体_GB2312"/>
          <w:b w:val="0"/>
          <w:bCs w:val="0"/>
          <w:lang w:val="en-US"/>
        </w:rPr>
        <w:t>加强和改进乡村治理，</w:t>
      </w:r>
      <w:r>
        <w:rPr>
          <w:rFonts w:ascii="楷体_GB2312" w:hAnsi="楷体_GB2312" w:eastAsia="楷体_GB2312" w:cs="楷体_GB2312"/>
          <w:lang w:val="en-US"/>
        </w:rPr>
        <w:t>推动乡村组织振兴</w:t>
      </w:r>
      <w:bookmarkEnd w:id="610"/>
    </w:p>
    <w:p w14:paraId="396BDEAC">
      <w:pPr>
        <w:spacing w:line="600" w:lineRule="exact"/>
        <w:ind w:firstLine="64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lang w:val="en-US"/>
        </w:rPr>
        <w:t>建立健全党委领导、政府负责、社会协同、公众参与、法治保障的现代乡村社会治理体制，推动乡村组织振兴，打造充满活力、和谐有序的善治乡村</w:t>
      </w:r>
      <w:r>
        <w:rPr>
          <w:rFonts w:ascii="仿宋_GB2312" w:hAnsi="仿宋_GB2312" w:eastAsia="仿宋_GB2312" w:cs="仿宋_GB2312"/>
          <w:szCs w:val="32"/>
          <w:shd w:val="clear" w:color="auto" w:fill="FFFFFF"/>
        </w:rPr>
        <w:t>。</w:t>
      </w:r>
    </w:p>
    <w:p w14:paraId="193787BF">
      <w:pPr>
        <w:spacing w:line="600" w:lineRule="exact"/>
        <w:ind w:firstLine="643"/>
        <w:rPr>
          <w:rFonts w:ascii="仿宋_GB2312" w:hAnsi="仿宋_GB2312" w:eastAsia="仿宋_GB2312" w:cs="仿宋_GB2312"/>
          <w:szCs w:val="32"/>
        </w:rPr>
      </w:pPr>
      <w:r>
        <w:rPr>
          <w:rFonts w:hint="eastAsia" w:ascii="楷体_GB2312" w:hAnsi="仿宋_GB2312" w:eastAsia="楷体_GB2312" w:cs="仿宋_GB2312"/>
          <w:b/>
          <w:szCs w:val="32"/>
        </w:rPr>
        <w:t>全面加强基层党组织建设。</w:t>
      </w:r>
      <w:r>
        <w:rPr>
          <w:rFonts w:hint="eastAsia" w:ascii="仿宋_GB2312" w:hAnsi="仿宋_GB2312" w:eastAsia="仿宋_GB2312" w:cs="仿宋_GB2312"/>
          <w:szCs w:val="32"/>
        </w:rPr>
        <w:t>坚持党的集中统一领导，全面</w:t>
      </w:r>
      <w:r>
        <w:rPr>
          <w:rFonts w:hint="eastAsia" w:ascii="仿宋_GB2312" w:hAnsi="仿宋_GB2312" w:eastAsia="仿宋_GB2312" w:cs="仿宋_GB2312"/>
          <w:szCs w:val="32"/>
          <w:lang w:val="en-US"/>
        </w:rPr>
        <w:t>夯实基层基础</w:t>
      </w:r>
      <w:r>
        <w:rPr>
          <w:rFonts w:hint="eastAsia" w:ascii="仿宋_GB2312" w:hAnsi="仿宋_GB2312" w:eastAsia="仿宋_GB2312" w:cs="仿宋_GB2312"/>
          <w:szCs w:val="32"/>
        </w:rPr>
        <w:t>，促进基层党建工作全面进步、全面过硬，加快构建</w:t>
      </w:r>
      <w:r>
        <w:rPr>
          <w:rFonts w:hint="eastAsia" w:ascii="仿宋_GB2312" w:hAnsi="仿宋_GB2312" w:eastAsia="仿宋_GB2312" w:cs="仿宋_GB2312"/>
          <w:szCs w:val="32"/>
          <w:lang w:val="en-US"/>
        </w:rPr>
        <w:t>以村级</w:t>
      </w:r>
      <w:r>
        <w:rPr>
          <w:rFonts w:hint="eastAsia" w:ascii="仿宋_GB2312" w:hAnsi="仿宋_GB2312" w:eastAsia="仿宋_GB2312" w:cs="仿宋_GB2312"/>
          <w:szCs w:val="32"/>
        </w:rPr>
        <w:t>党组织为</w:t>
      </w:r>
      <w:r>
        <w:rPr>
          <w:rFonts w:hint="eastAsia" w:ascii="仿宋_GB2312" w:hAnsi="仿宋_GB2312" w:eastAsia="仿宋_GB2312" w:cs="仿宋_GB2312"/>
          <w:szCs w:val="32"/>
          <w:lang w:val="en-US"/>
        </w:rPr>
        <w:t>核心</w:t>
      </w:r>
      <w:r>
        <w:rPr>
          <w:rFonts w:hint="eastAsia" w:ascii="仿宋_GB2312" w:hAnsi="仿宋_GB2312" w:eastAsia="仿宋_GB2312" w:cs="仿宋_GB2312"/>
          <w:szCs w:val="32"/>
        </w:rPr>
        <w:t>的</w:t>
      </w:r>
      <w:r>
        <w:rPr>
          <w:rFonts w:hint="eastAsia" w:ascii="仿宋_GB2312" w:hAnsi="仿宋_GB2312" w:eastAsia="仿宋_GB2312" w:cs="仿宋_GB2312"/>
          <w:szCs w:val="32"/>
          <w:lang w:val="en-US"/>
        </w:rPr>
        <w:t>现代</w:t>
      </w:r>
      <w:r>
        <w:rPr>
          <w:rFonts w:hint="eastAsia" w:ascii="仿宋_GB2312" w:hAnsi="仿宋_GB2312" w:eastAsia="仿宋_GB2312" w:cs="仿宋_GB2312"/>
          <w:szCs w:val="32"/>
        </w:rPr>
        <w:t>乡村治理体系。强化乡村基层党组织建设，吸收有知识、有文化、有责任心、年富力强的本土青年进入乡村的基层党组织，并选拔到乡村党支部的领导岗位，发挥党员先锋模范作用；将大学生村官纳入全旗后备干部培养计划，解决待遇低、留不住人才的问题，提高乡村干部的整体文化水平。加强村党组织对村级各类组织的领导，引导品行好、威望高的老党员担任红白理事会等群众组织负责人。加强基层党组织作风建设，发扬党内民主，落实党内民主监督机制，打击和预防腐败，发挥乡村基层党组织的战斗堡垒作用，稳步提高乡村治理能力和水平。健全“自治、法治、德治”相结合的乡村治理体系，突出农村群众主体地位，健全村民自治制度，坚持依法决策、依法办事，提升群众的信任度和满意度，形成治理为了群众、治理依靠群众、治理成果由群众共享的乡村治理良好局面。</w:t>
      </w:r>
    </w:p>
    <w:p w14:paraId="1225C898">
      <w:pPr>
        <w:spacing w:line="600" w:lineRule="exact"/>
        <w:ind w:firstLine="643"/>
      </w:pPr>
      <w:r>
        <w:rPr>
          <w:rStyle w:val="34"/>
          <w:rFonts w:hint="eastAsia" w:ascii="楷体_GB2312" w:hAnsi="楷体_GB2312" w:eastAsia="楷体_GB2312" w:cs="楷体_GB2312"/>
        </w:rPr>
        <w:t>持续推进乡风文明建设</w:t>
      </w:r>
      <w:r>
        <w:rPr>
          <w:rFonts w:hint="eastAsia" w:ascii="楷体_GB2312" w:hAnsi="楷体_GB2312" w:eastAsia="楷体_GB2312" w:cs="楷体_GB2312"/>
          <w:b/>
          <w:bCs/>
        </w:rPr>
        <w:t>。</w:t>
      </w:r>
      <w:r>
        <w:rPr>
          <w:rFonts w:hint="eastAsia" w:ascii="仿宋_GB2312" w:hAnsi="仿宋_GB2312" w:eastAsia="仿宋_GB2312" w:cs="仿宋_GB2312"/>
          <w:szCs w:val="32"/>
        </w:rPr>
        <w:t>加强村规民约建设，发挥好村规民约在传承传统美德、倡导文明新风等方面的作用，推广吉格斯太张义城村“一约六化”乡村治理模式，培养文明健康行为习惯。加强乡村社会主义精神文明建设，弘扬和践行社会主义核心价值观，积极推进乡村移风易俗，破除陈规陋习，遏制讲排场、比面子等攀比之风，提倡“喜事新办、丧事简办”“厚养薄葬”等乡村文明新风尚，推动形成文明乡风、良好家风、淳朴民风。大力培育乡贤文化，不断挖掘有口皆碑的模范人物、德高望重的基层干部、反哺桑梓的业界精英以及其他有愿意为家乡建设建言献策、出钱出力的社会贤达人士等人才资源，组建“乡贤智囊团”“乡贤创业团”“乡贤民情团”“乡贤爱心团”等平台组织，为乡贤回归乡村创造条件，鼓励乡贤参与乡村共建共治，推动乡村治理健康有序发展。推进法治乡村建设，完善乡村公共法律服务体系，积极推动公益法律服务进乡村；深入开展普法下乡宣传教育，采用农民喜闻乐见的方式、通俗易懂的语言，深化土地管理法、农村土地承包法、民法典等与农牧民群众密切相关的法律法规的宣传教育，不断增强农民的法律知识和维权意识。推进乡村社会治安防控体系建设，打造平安乡村。</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7D16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FDE9D9" w:themeFill="accent6" w:themeFillTint="33"/>
          </w:tcPr>
          <w:p w14:paraId="7FE6F37F">
            <w:pPr>
              <w:pStyle w:val="22"/>
              <w:ind w:firstLine="0" w:firstLineChars="0"/>
              <w:jc w:val="center"/>
              <w:rPr>
                <w:rFonts w:ascii="仿宋_GB2312" w:eastAsia="仿宋_GB2312"/>
                <w:sz w:val="28"/>
                <w:szCs w:val="28"/>
              </w:rPr>
            </w:pPr>
            <w:r>
              <w:rPr>
                <w:rFonts w:hint="eastAsia" w:ascii="仿宋_GB2312" w:eastAsia="仿宋_GB2312"/>
                <w:sz w:val="28"/>
                <w:szCs w:val="28"/>
              </w:rPr>
              <w:t>专栏12：农业农村现代化</w:t>
            </w:r>
          </w:p>
        </w:tc>
      </w:tr>
      <w:tr w14:paraId="4367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4" w:type="dxa"/>
            <w:tcBorders>
              <w:bottom w:val="single" w:color="auto" w:sz="4" w:space="0"/>
            </w:tcBorders>
            <w:shd w:val="clear" w:color="auto" w:fill="FDE9D9" w:themeFill="accent6" w:themeFillTint="33"/>
          </w:tcPr>
          <w:p w14:paraId="7B5EA9F9">
            <w:pPr>
              <w:pStyle w:val="22"/>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重大工程</w:t>
            </w:r>
          </w:p>
        </w:tc>
      </w:tr>
      <w:tr w14:paraId="18B2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2CF2A34F">
            <w:pPr>
              <w:pStyle w:val="22"/>
              <w:spacing w:line="360" w:lineRule="auto"/>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“农村工业提升”行动</w:t>
            </w:r>
          </w:p>
          <w:p w14:paraId="2DDDFB9B">
            <w:pPr>
              <w:pStyle w:val="22"/>
              <w:spacing w:line="360" w:lineRule="auto"/>
              <w:ind w:firstLine="480" w:firstLineChars="200"/>
              <w:rPr>
                <w:rFonts w:ascii="仿宋_GB2312" w:hAnsi="微软雅黑" w:eastAsia="仿宋_GB2312"/>
                <w:b w:val="0"/>
                <w:szCs w:val="24"/>
              </w:rPr>
            </w:pPr>
            <w:r>
              <w:rPr>
                <w:rFonts w:hint="eastAsia" w:ascii="仿宋_GB2312" w:hAnsi="仿宋_GB2312" w:eastAsia="仿宋_GB2312" w:cs="仿宋_GB2312"/>
                <w:b w:val="0"/>
                <w:szCs w:val="24"/>
              </w:rPr>
              <w:t xml:space="preserve">◆ </w:t>
            </w:r>
            <w:r>
              <w:rPr>
                <w:rFonts w:hint="eastAsia" w:ascii="仿宋_GB2312" w:hAnsi="微软雅黑" w:eastAsia="仿宋_GB2312"/>
                <w:b w:val="0"/>
                <w:szCs w:val="24"/>
              </w:rPr>
              <w:t>乡村人才培养计划</w:t>
            </w:r>
          </w:p>
          <w:p w14:paraId="15714F5F">
            <w:pPr>
              <w:pStyle w:val="22"/>
              <w:spacing w:line="360" w:lineRule="auto"/>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乡村本土文化培育计划</w:t>
            </w:r>
          </w:p>
          <w:p w14:paraId="2D4ED390">
            <w:pPr>
              <w:pStyle w:val="22"/>
              <w:spacing w:line="360" w:lineRule="auto"/>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农村人居环境整治三年行动</w:t>
            </w:r>
          </w:p>
          <w:p w14:paraId="1FD3D102">
            <w:pPr>
              <w:pStyle w:val="22"/>
              <w:spacing w:line="360" w:lineRule="auto"/>
              <w:ind w:firstLine="480" w:firstLineChars="200"/>
              <w:rPr>
                <w:rFonts w:ascii="仿宋_GB2312" w:hAnsi="PingFang SC" w:eastAsia="仿宋_GB2312"/>
                <w:b w:val="0"/>
                <w:szCs w:val="24"/>
              </w:rPr>
            </w:pPr>
            <w:r>
              <w:rPr>
                <w:rFonts w:hint="eastAsia" w:ascii="仿宋_GB2312" w:hAnsi="仿宋_GB2312" w:eastAsia="仿宋_GB2312" w:cs="仿宋_GB2312"/>
                <w:b w:val="0"/>
                <w:szCs w:val="24"/>
              </w:rPr>
              <w:t xml:space="preserve">◆ </w:t>
            </w:r>
            <w:r>
              <w:rPr>
                <w:rFonts w:hint="eastAsia" w:ascii="仿宋_GB2312" w:hAnsi="PingFang SC" w:eastAsia="仿宋_GB2312"/>
                <w:b w:val="0"/>
                <w:szCs w:val="24"/>
              </w:rPr>
              <w:t>“家园革命”：改庭院、改厨房、改厕所、煤改电、煤改气。</w:t>
            </w:r>
          </w:p>
          <w:p w14:paraId="389473A2">
            <w:pPr>
              <w:pStyle w:val="22"/>
              <w:spacing w:line="360" w:lineRule="auto"/>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xml:space="preserve">◆ </w:t>
            </w:r>
            <w:r>
              <w:rPr>
                <w:rFonts w:hint="eastAsia" w:ascii="仿宋_GB2312" w:hAnsi="仿宋_GB2312" w:eastAsia="仿宋_GB2312" w:cs="仿宋_GB2312"/>
                <w:b w:val="0"/>
                <w:szCs w:val="32"/>
              </w:rPr>
              <w:t>法治乡村</w:t>
            </w:r>
          </w:p>
          <w:p w14:paraId="34336EB9">
            <w:pPr>
              <w:pStyle w:val="22"/>
              <w:spacing w:line="360" w:lineRule="auto"/>
              <w:ind w:firstLine="480" w:firstLineChars="200"/>
            </w:pPr>
            <w:r>
              <w:rPr>
                <w:rFonts w:hint="eastAsia" w:ascii="仿宋_GB2312" w:hAnsi="仿宋_GB2312" w:eastAsia="仿宋_GB2312" w:cs="仿宋_GB2312"/>
                <w:b w:val="0"/>
                <w:szCs w:val="24"/>
              </w:rPr>
              <w:t xml:space="preserve">◆ </w:t>
            </w:r>
            <w:r>
              <w:rPr>
                <w:rFonts w:hint="eastAsia" w:ascii="仿宋_GB2312" w:hAnsi="仿宋_GB2312" w:eastAsia="仿宋_GB2312" w:cs="仿宋_GB2312"/>
                <w:b w:val="0"/>
                <w:szCs w:val="32"/>
              </w:rPr>
              <w:t>平安乡村</w:t>
            </w:r>
          </w:p>
        </w:tc>
      </w:tr>
    </w:tbl>
    <w:p w14:paraId="183F68AB">
      <w:pPr>
        <w:pStyle w:val="10"/>
        <w:spacing w:line="600" w:lineRule="exact"/>
        <w:ind w:left="0" w:firstLine="0" w:firstLineChars="0"/>
        <w:jc w:val="center"/>
        <w:outlineLvl w:val="0"/>
        <w:rPr>
          <w:rFonts w:ascii="Times New Roman" w:hAnsi="Times New Roman" w:eastAsia="黑体" w:cs="Times New Roman"/>
          <w:b/>
          <w:sz w:val="32"/>
          <w:szCs w:val="32"/>
          <w:shd w:val="clear" w:color="auto" w:fill="FFFFFF"/>
          <w:lang w:val="en-US"/>
        </w:rPr>
      </w:pPr>
      <w:bookmarkStart w:id="611" w:name="_Toc12116"/>
      <w:bookmarkStart w:id="612" w:name="_Toc28883"/>
      <w:bookmarkStart w:id="613" w:name="_Toc1416975925"/>
      <w:r>
        <w:rPr>
          <w:rFonts w:ascii="Times New Roman" w:hAnsi="Times New Roman" w:eastAsia="黑体" w:cs="Times New Roman"/>
          <w:b/>
          <w:sz w:val="32"/>
          <w:szCs w:val="32"/>
          <w:shd w:val="clear" w:color="auto" w:fill="FFFFFF"/>
          <w:lang w:val="en-US"/>
        </w:rPr>
        <w:t>第</w:t>
      </w:r>
      <w:r>
        <w:rPr>
          <w:rFonts w:hint="eastAsia" w:ascii="Times New Roman" w:hAnsi="Times New Roman" w:eastAsia="黑体" w:cs="Times New Roman"/>
          <w:b/>
          <w:sz w:val="32"/>
          <w:szCs w:val="32"/>
          <w:shd w:val="clear" w:color="auto" w:fill="FFFFFF"/>
          <w:lang w:val="en-US"/>
        </w:rPr>
        <w:t>九</w:t>
      </w:r>
      <w:r>
        <w:rPr>
          <w:rFonts w:ascii="Times New Roman" w:hAnsi="Times New Roman" w:eastAsia="黑体" w:cs="Times New Roman"/>
          <w:b/>
          <w:sz w:val="32"/>
          <w:szCs w:val="32"/>
          <w:shd w:val="clear" w:color="auto" w:fill="FFFFFF"/>
          <w:lang w:val="en-US"/>
        </w:rPr>
        <w:t>章统筹生态文明建设，</w:t>
      </w:r>
      <w:bookmarkEnd w:id="429"/>
      <w:bookmarkEnd w:id="611"/>
      <w:bookmarkStart w:id="614" w:name="_Toc25405"/>
      <w:bookmarkStart w:id="615" w:name="_Toc1826196935_WPSOffice_Level2"/>
      <w:bookmarkStart w:id="616" w:name="_Toc718613573"/>
      <w:bookmarkStart w:id="617" w:name="_Toc59098775"/>
      <w:r>
        <w:rPr>
          <w:rFonts w:ascii="Times New Roman" w:hAnsi="Times New Roman" w:eastAsia="黑体" w:cs="Times New Roman"/>
          <w:b/>
          <w:sz w:val="32"/>
          <w:szCs w:val="32"/>
          <w:shd w:val="clear" w:color="auto" w:fill="FFFFFF"/>
          <w:lang w:val="en-US"/>
        </w:rPr>
        <w:t>着力打造绿色发展样板</w:t>
      </w:r>
      <w:bookmarkEnd w:id="612"/>
      <w:bookmarkEnd w:id="613"/>
    </w:p>
    <w:p w14:paraId="26A0B738">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坚持“绿水青山就是金山银山”的发展理念，坚持生态优先、绿色发展，大力推进黄河流域生态环境综合治理，守住生态安全边界，筑牢祖国北方生态安全屏障达拉特防线。深入实施可持续发展战略，促进经济社会发展全面绿色</w:t>
      </w:r>
      <w:r>
        <w:rPr>
          <w:rFonts w:hint="eastAsia" w:ascii="仿宋_GB2312" w:hAnsi="仿宋_GB2312" w:eastAsia="仿宋_GB2312" w:cs="仿宋_GB2312"/>
          <w:szCs w:val="32"/>
          <w:lang w:val="en-US"/>
        </w:rPr>
        <w:t>低碳化</w:t>
      </w:r>
      <w:r>
        <w:rPr>
          <w:rFonts w:hint="eastAsia" w:ascii="仿宋_GB2312" w:hAnsi="仿宋_GB2312" w:eastAsia="仿宋_GB2312" w:cs="仿宋_GB2312"/>
          <w:szCs w:val="32"/>
        </w:rPr>
        <w:t>转型，实现“30·60”碳目标，打造黄河流域生态保护和高质量发展先行旗。</w:t>
      </w:r>
    </w:p>
    <w:p w14:paraId="3DC2C0CE">
      <w:pPr>
        <w:pStyle w:val="4"/>
        <w:spacing w:line="600" w:lineRule="exact"/>
        <w:rPr>
          <w:rFonts w:ascii="楷体_GB2312" w:hAnsi="楷体_GB2312" w:eastAsia="楷体_GB2312" w:cs="楷体_GB2312"/>
          <w:bCs w:val="0"/>
        </w:rPr>
      </w:pPr>
      <w:bookmarkStart w:id="618" w:name="_Toc17056"/>
      <w:bookmarkStart w:id="619" w:name="_Toc5709"/>
      <w:bookmarkStart w:id="620" w:name="_Toc1512"/>
      <w:bookmarkStart w:id="621" w:name="_Toc20006"/>
      <w:bookmarkStart w:id="622" w:name="_Toc1462"/>
      <w:bookmarkStart w:id="623" w:name="_Toc1668209892"/>
      <w:bookmarkStart w:id="624" w:name="_Toc32004"/>
      <w:r>
        <w:rPr>
          <w:rFonts w:hint="eastAsia" w:ascii="楷体_GB2312" w:hAnsi="楷体_GB2312" w:eastAsia="楷体_GB2312" w:cs="楷体_GB2312"/>
        </w:rPr>
        <w:t>第一节</w:t>
      </w:r>
      <w:bookmarkEnd w:id="614"/>
      <w:bookmarkEnd w:id="615"/>
      <w:bookmarkEnd w:id="616"/>
      <w:bookmarkEnd w:id="618"/>
      <w:bookmarkEnd w:id="619"/>
      <w:bookmarkEnd w:id="620"/>
      <w:bookmarkEnd w:id="621"/>
      <w:bookmarkEnd w:id="622"/>
      <w:r>
        <w:rPr>
          <w:rFonts w:hint="eastAsia" w:ascii="楷体_GB2312" w:hAnsi="楷体_GB2312" w:eastAsia="楷体_GB2312" w:cs="楷体_GB2312"/>
        </w:rPr>
        <w:t xml:space="preserve"> 加强生态空间管控，构筑生态安全新格局</w:t>
      </w:r>
      <w:bookmarkEnd w:id="623"/>
      <w:bookmarkEnd w:id="624"/>
    </w:p>
    <w:p w14:paraId="018D0C65">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全面落实主体功能区战略，强化生态环境空间约束，推动生态保护红线、环境质量底线、资源利用上线、生态环境准入清单“三线一单”落地实施，优布局、调结构、控规模、保功能，构筑“一脉三区十廊多节点”的生态空间格局。</w:t>
      </w:r>
    </w:p>
    <w:p w14:paraId="6B5B066F">
      <w:pPr>
        <w:spacing w:line="600" w:lineRule="exact"/>
        <w:ind w:firstLine="643"/>
        <w:rPr>
          <w:rFonts w:ascii="仿宋_GB2312" w:hAnsi="仿宋_GB2312" w:eastAsia="仿宋_GB2312" w:cs="仿宋_GB2312"/>
        </w:rPr>
      </w:pPr>
      <w:bookmarkStart w:id="625" w:name="_Toc12107"/>
      <w:bookmarkStart w:id="626" w:name="_Toc9514"/>
      <w:bookmarkStart w:id="627" w:name="_Toc21957"/>
      <w:bookmarkStart w:id="628" w:name="_Toc15819"/>
      <w:bookmarkStart w:id="629" w:name="_Toc16896"/>
      <w:r>
        <w:rPr>
          <w:rFonts w:hint="eastAsia" w:ascii="仿宋_GB2312" w:hAnsi="仿宋_GB2312" w:eastAsia="仿宋_GB2312" w:cs="仿宋_GB2312"/>
          <w:b/>
          <w:bCs/>
        </w:rPr>
        <w:t>“一脉”</w:t>
      </w:r>
      <w:r>
        <w:rPr>
          <w:rFonts w:hint="eastAsia" w:ascii="仿宋_GB2312" w:hAnsi="仿宋_GB2312" w:eastAsia="仿宋_GB2312" w:cs="仿宋_GB2312"/>
          <w:szCs w:val="32"/>
        </w:rPr>
        <w:t>即以黄河为生态主脉络。立足“黄河几字弯”核心区位和自然生态禀赋，强化河湖长制，重点实施黄河防洪、堤防岸线提升、滩涂整治、移民迁建等工程，强化南岸灌区灌排排水、盐碱地改造，大力发展节水产业和技术，推进实施全社会节水行动，支持绿色技术创新，推进清洁生产，发展环保产业，推进重点行业和重要领域绿色化改造，加快形成高质量绿色发展的沿黄生态经济带。</w:t>
      </w:r>
      <w:bookmarkEnd w:id="625"/>
      <w:bookmarkEnd w:id="626"/>
      <w:bookmarkEnd w:id="627"/>
      <w:bookmarkEnd w:id="628"/>
      <w:bookmarkEnd w:id="629"/>
    </w:p>
    <w:p w14:paraId="7F2EF3D9">
      <w:pPr>
        <w:spacing w:line="600" w:lineRule="exact"/>
        <w:ind w:firstLine="643"/>
        <w:rPr>
          <w:rFonts w:ascii="Times New Roman" w:hAnsi="Times New Roman" w:eastAsia="仿宋_GB2312" w:cs="Times New Roman"/>
          <w:szCs w:val="32"/>
        </w:rPr>
      </w:pPr>
      <w:bookmarkStart w:id="630" w:name="_Toc11852"/>
      <w:bookmarkStart w:id="631" w:name="_Toc8948"/>
      <w:bookmarkStart w:id="632" w:name="_Toc4914"/>
      <w:bookmarkStart w:id="633" w:name="_Toc14659"/>
      <w:bookmarkStart w:id="634" w:name="_Toc30114"/>
      <w:r>
        <w:rPr>
          <w:rFonts w:hint="eastAsia" w:ascii="仿宋_GB2312" w:hAnsi="仿宋_GB2312" w:eastAsia="仿宋_GB2312" w:cs="仿宋_GB2312"/>
          <w:b/>
          <w:bCs/>
        </w:rPr>
        <w:t>“三区”</w:t>
      </w:r>
      <w:r>
        <w:rPr>
          <w:rFonts w:hint="eastAsia" w:ascii="仿宋_GB2312" w:hAnsi="仿宋_GB2312" w:eastAsia="仿宋_GB2312" w:cs="仿宋_GB2312"/>
          <w:szCs w:val="32"/>
        </w:rPr>
        <w:t>即沙漠生态区、草原生态区、丘陵生态区。持续推进库布其沙漠生态修复工程，推广产业项目带动沙漠治理模式，保障沙漠生态区的生态安全。优化实施禁牧、休牧、轮牧政策，以草定畜，严格控制载畜量，保持草畜平衡，维护草原生态系统良性循环。积极推进矿区生态保护与生态修复，提升丘陵生态区生态涵养、水土保持功能。</w:t>
      </w:r>
      <w:bookmarkEnd w:id="630"/>
      <w:bookmarkEnd w:id="631"/>
      <w:bookmarkEnd w:id="632"/>
      <w:bookmarkEnd w:id="633"/>
      <w:bookmarkEnd w:id="634"/>
    </w:p>
    <w:p w14:paraId="18B36A7E">
      <w:pPr>
        <w:spacing w:line="600" w:lineRule="exact"/>
        <w:ind w:firstLine="643"/>
        <w:rPr>
          <w:rFonts w:ascii="Times New Roman" w:hAnsi="Times New Roman" w:eastAsia="仿宋_GB2312" w:cs="Times New Roman"/>
          <w:szCs w:val="32"/>
        </w:rPr>
      </w:pPr>
      <w:bookmarkStart w:id="635" w:name="_Toc11514"/>
      <w:bookmarkStart w:id="636" w:name="_Toc25489"/>
      <w:bookmarkStart w:id="637" w:name="_Toc15653"/>
      <w:bookmarkStart w:id="638" w:name="_Toc24577"/>
      <w:bookmarkStart w:id="639" w:name="_Toc23531"/>
      <w:r>
        <w:rPr>
          <w:rFonts w:hint="eastAsia" w:ascii="仿宋_GB2312" w:hAnsi="仿宋_GB2312" w:eastAsia="仿宋_GB2312" w:cs="仿宋_GB2312"/>
          <w:b/>
          <w:bCs/>
        </w:rPr>
        <w:t>“十廊”</w:t>
      </w:r>
      <w:r>
        <w:rPr>
          <w:rFonts w:ascii="Times New Roman" w:hAnsi="Times New Roman" w:eastAsia="仿宋_GB2312" w:cs="Times New Roman"/>
          <w:szCs w:val="32"/>
        </w:rPr>
        <w:t>即十大孔兑生态廊道。重点加强水土流失、拦沙换水、淤地坝除险加固、植树造林、环境保护、污染防治等生态工程和水资源保护、河道疏浚、小流域治理等重大行动，增强水土涵养、防风固沙、防洪调控等自然生态功能，提高生态屏障功能。</w:t>
      </w:r>
      <w:bookmarkEnd w:id="635"/>
      <w:bookmarkEnd w:id="636"/>
      <w:bookmarkEnd w:id="637"/>
      <w:bookmarkEnd w:id="638"/>
      <w:bookmarkEnd w:id="639"/>
    </w:p>
    <w:p w14:paraId="017209FC">
      <w:pPr>
        <w:spacing w:line="600" w:lineRule="exact"/>
        <w:ind w:firstLine="643"/>
        <w:rPr>
          <w:rFonts w:ascii="仿宋_GB2312" w:hAnsi="仿宋_GB2312" w:eastAsia="仿宋_GB2312" w:cs="仿宋_GB2312"/>
          <w:szCs w:val="32"/>
        </w:rPr>
      </w:pPr>
      <w:bookmarkStart w:id="640" w:name="_Toc22646"/>
      <w:bookmarkStart w:id="641" w:name="_Toc29068"/>
      <w:bookmarkStart w:id="642" w:name="_Toc32355"/>
      <w:bookmarkStart w:id="643" w:name="_Toc13443"/>
      <w:bookmarkStart w:id="644" w:name="_Toc29542"/>
      <w:r>
        <w:rPr>
          <w:rFonts w:hint="eastAsia" w:ascii="仿宋_GB2312" w:hAnsi="仿宋_GB2312" w:eastAsia="仿宋_GB2312" w:cs="仿宋_GB2312"/>
          <w:b/>
          <w:bCs/>
        </w:rPr>
        <w:t>“多节点”</w:t>
      </w:r>
      <w:r>
        <w:rPr>
          <w:rFonts w:hint="eastAsia" w:ascii="仿宋_GB2312" w:hAnsi="仿宋_GB2312" w:eastAsia="仿宋_GB2312" w:cs="仿宋_GB2312"/>
          <w:szCs w:val="32"/>
        </w:rPr>
        <w:t>即森林、湿地、草原及水源地等生态功能价值突出的区域。重点加强风水梁沟壑区、白土梁林场、额林滩-柴登草原、羽龙湖、蒲圪卜和昭君蓄滞洪区、展旦召水源地等自然保护地生态保护，加强对导致生态功能退化的开发活动和其他人为破坏活动的监管执法，对已经破坏的重要生态系统，加强生态环境修复。</w:t>
      </w:r>
      <w:bookmarkEnd w:id="640"/>
      <w:bookmarkEnd w:id="641"/>
      <w:bookmarkEnd w:id="642"/>
      <w:bookmarkEnd w:id="643"/>
      <w:bookmarkEnd w:id="644"/>
    </w:p>
    <w:p w14:paraId="11488AC4">
      <w:pPr>
        <w:pStyle w:val="4"/>
        <w:spacing w:line="600" w:lineRule="exact"/>
        <w:rPr>
          <w:rFonts w:ascii="楷体_GB2312" w:hAnsi="楷体_GB2312" w:eastAsia="楷体_GB2312" w:cs="楷体_GB2312"/>
        </w:rPr>
      </w:pPr>
      <w:bookmarkStart w:id="645" w:name="_Toc31404"/>
      <w:bookmarkStart w:id="646" w:name="_Toc290290683"/>
      <w:bookmarkStart w:id="647" w:name="_Toc1055603621_WPSOffice_Level2"/>
      <w:bookmarkStart w:id="648" w:name="_Toc18441"/>
      <w:bookmarkStart w:id="649" w:name="_Toc27490"/>
      <w:bookmarkStart w:id="650" w:name="_Toc21330"/>
      <w:bookmarkStart w:id="651" w:name="_Toc28984"/>
      <w:bookmarkStart w:id="652" w:name="_Toc1839"/>
      <w:bookmarkStart w:id="653" w:name="_Toc57159612"/>
      <w:bookmarkStart w:id="654" w:name="_Toc22610"/>
      <w:r>
        <w:rPr>
          <w:rFonts w:hint="eastAsia" w:ascii="楷体_GB2312" w:hAnsi="楷体_GB2312" w:eastAsia="楷体_GB2312" w:cs="楷体_GB2312"/>
        </w:rPr>
        <w:t xml:space="preserve">第二节 </w:t>
      </w:r>
      <w:r>
        <w:rPr>
          <w:rFonts w:hint="eastAsia" w:ascii="楷体_GB2312" w:hAnsi="楷体_GB2312" w:eastAsia="楷体_GB2312" w:cs="楷体_GB2312"/>
          <w:lang w:val="en-US"/>
        </w:rPr>
        <w:t>统筹</w:t>
      </w:r>
      <w:r>
        <w:rPr>
          <w:rFonts w:hint="eastAsia" w:ascii="楷体_GB2312" w:hAnsi="楷体_GB2312" w:eastAsia="楷体_GB2312" w:cs="楷体_GB2312"/>
        </w:rPr>
        <w:t>生态治理与保护，</w:t>
      </w:r>
      <w:bookmarkEnd w:id="645"/>
      <w:bookmarkEnd w:id="646"/>
      <w:bookmarkEnd w:id="647"/>
      <w:r>
        <w:rPr>
          <w:rFonts w:hint="eastAsia" w:ascii="楷体_GB2312" w:hAnsi="楷体_GB2312" w:eastAsia="楷体_GB2312" w:cs="楷体_GB2312"/>
        </w:rPr>
        <w:t>增强生态系统的稳定性</w:t>
      </w:r>
      <w:bookmarkEnd w:id="648"/>
      <w:bookmarkEnd w:id="649"/>
      <w:bookmarkEnd w:id="650"/>
      <w:bookmarkEnd w:id="651"/>
      <w:bookmarkEnd w:id="652"/>
      <w:bookmarkEnd w:id="653"/>
      <w:bookmarkEnd w:id="654"/>
    </w:p>
    <w:p w14:paraId="49FFA7D2">
      <w:pPr>
        <w:spacing w:line="600" w:lineRule="exact"/>
        <w:ind w:firstLine="640"/>
        <w:rPr>
          <w:rFonts w:ascii="Times New Roman" w:hAnsi="Times New Roman" w:eastAsia="仿宋_GB2312" w:cs="Times New Roman"/>
          <w:szCs w:val="32"/>
        </w:rPr>
      </w:pPr>
      <w:bookmarkStart w:id="655" w:name="_Toc23443"/>
      <w:bookmarkStart w:id="656" w:name="_Toc10604"/>
      <w:bookmarkStart w:id="657" w:name="_Toc29238"/>
      <w:bookmarkStart w:id="658" w:name="_Toc301"/>
      <w:bookmarkStart w:id="659" w:name="_Toc29484"/>
      <w:r>
        <w:rPr>
          <w:rFonts w:ascii="Times New Roman" w:hAnsi="Times New Roman" w:eastAsia="仿宋_GB2312" w:cs="Times New Roman"/>
          <w:szCs w:val="32"/>
        </w:rPr>
        <w:t>坚持尊重自然、顺应自然、保护自然的生态文明理念，统筹山水林田湖草沙综合治理、系统治理、源头治理，加强生态环境系统性、科学性整治，推进黄河流域生态治理、修复与保护，全面提升生态系统质量和稳定性。</w:t>
      </w:r>
      <w:bookmarkEnd w:id="655"/>
      <w:bookmarkEnd w:id="656"/>
      <w:bookmarkEnd w:id="657"/>
      <w:bookmarkEnd w:id="658"/>
      <w:bookmarkEnd w:id="659"/>
    </w:p>
    <w:p w14:paraId="17DAED71">
      <w:pPr>
        <w:spacing w:line="600" w:lineRule="exact"/>
        <w:ind w:firstLine="643"/>
        <w:rPr>
          <w:rFonts w:ascii="Times New Roman" w:hAnsi="Times New Roman" w:cs="Times New Roman"/>
        </w:rPr>
      </w:pPr>
      <w:r>
        <w:rPr>
          <w:rStyle w:val="34"/>
          <w:rFonts w:hint="eastAsia" w:ascii="楷体_GB2312" w:hAnsi="楷体_GB2312" w:eastAsia="楷体_GB2312" w:cs="楷体_GB2312"/>
        </w:rPr>
        <w:t>确保黄河长久安澜</w:t>
      </w:r>
      <w:r>
        <w:rPr>
          <w:rFonts w:hint="eastAsia" w:ascii="楷体_GB2312" w:hAnsi="楷体_GB2312" w:eastAsia="楷体_GB2312" w:cs="楷体_GB2312"/>
          <w:b/>
          <w:bCs/>
        </w:rPr>
        <w:t>。</w:t>
      </w:r>
      <w:r>
        <w:rPr>
          <w:rFonts w:hint="eastAsia" w:ascii="仿宋_GB2312" w:hAnsi="仿宋_GB2312" w:eastAsia="仿宋_GB2312" w:cs="仿宋_GB2312"/>
          <w:szCs w:val="32"/>
        </w:rPr>
        <w:t>完善水沙调控机制，推进十大孔兑水沙一体化治理，分类实施上游水土保持工程、中游引洪滞沙工程、下游平原区堤防建设加固工程，建立以水土保持、河道拦沙、放淤调度为主的水沙调控防治体系，提升黄河流域水源涵养能力。坚持预防为主、防治结合，全面推进水土流失综合治理，重点开展拦沙换水、十大孔兑综合治理、黄河粗泥沙集中来源区拦沙、晋陕蒙黄河支流沙棘生态减沙、病险淤地坝除险加固和国家水土保持等重点工程建设，增强黄河岸线及支流流域水土保持能力，到2025年，全旗水土流失治理面积达到3160.7平方公里。全面强化黄河岸线堤防、蓄滞洪区和水源涵养地等生态保护功能区的建设，提升沿河生态脆弱区、库布其沙漠沿线风沙区、梁外丘陵水土流失严重区等区域的生态系统循环功能和自我修复能力。推进水生态系统保护修复，落实空间管控要求，坚持整体保护、系统修复，注重自然恢复，协同推进人工修复，优化水域生物种群结构，增加生物多样性，改善水生态环境，推动生态扩容。全面落实河(湖)长制，严格禁止河道采石、采砂、倒污水拉、开垦河滩地等行为，积极控制湿地破坏性开发，有效改善黄河水系水体质量。持续整治“四乱”现象，严禁侵占河道、围垦滩区、非法采砂等活动，恢复水域岸线生态功能。推动沿黄滩区合理开发利用，提高河滩地规模化综合利用水平，充分利用河滩地进行生态缓冲带及生态农业建设，推进黄河滩区居民迁建工程，保障滩区居民生命安全。</w:t>
      </w:r>
    </w:p>
    <w:p w14:paraId="21716BF7">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加强林草生态建设与修复</w:t>
      </w:r>
      <w:r>
        <w:rPr>
          <w:rFonts w:hint="eastAsia" w:ascii="楷体_GB2312" w:hAnsi="楷体_GB2312" w:eastAsia="楷体_GB2312" w:cs="楷体_GB2312"/>
          <w:b/>
          <w:bCs/>
        </w:rPr>
        <w:t>。</w:t>
      </w:r>
      <w:r>
        <w:rPr>
          <w:rFonts w:hint="eastAsia" w:ascii="仿宋_GB2312" w:hAnsi="仿宋_GB2312" w:eastAsia="仿宋_GB2312" w:cs="仿宋_GB2312"/>
          <w:szCs w:val="32"/>
        </w:rPr>
        <w:t>开展大规模国土绿化行动，精心组织实施天然林保护、京津风沙源治理、退耕还林、全民义务植树活动等重点生态工程建设，集中连片建设高质量生态防护林(带、网)，加快退化林分修复与改造，加强幼林抚育管护和植被保护与修复，推行林长制，巩固扩大退耕还林成果。到2025</w:t>
      </w:r>
      <w:r>
        <w:rPr>
          <w:rFonts w:hint="eastAsia" w:ascii="仿宋_GB2312" w:hAnsi="仿宋_GB2312" w:eastAsia="仿宋_GB2312" w:cs="仿宋_GB2312"/>
          <w:szCs w:val="32"/>
          <w:lang w:val="en-US"/>
        </w:rPr>
        <w:t>年</w:t>
      </w:r>
      <w:r>
        <w:rPr>
          <w:rFonts w:hint="eastAsia" w:ascii="仿宋_GB2312" w:hAnsi="仿宋_GB2312" w:eastAsia="仿宋_GB2312" w:cs="仿宋_GB2312"/>
        </w:rPr>
        <w:t>，</w:t>
      </w:r>
      <w:r>
        <w:rPr>
          <w:rFonts w:hint="eastAsia" w:ascii="仿宋_GB2312" w:hAnsi="仿宋_GB2312" w:eastAsia="仿宋_GB2312" w:cs="仿宋_GB2312"/>
          <w:szCs w:val="32"/>
        </w:rPr>
        <w:t>全旗实施林业生态工程30万亩，森林覆盖率达到29.2%。持续改善草原生态环境治理，加大草原修复力度，提高优质草产品供给能力，推动草原生态提质增效。严格落实草原生态保护补助奖励政策，加快推进退耕还草及草原改良，有效遏制草原沙化。推进草原休养生息，强化农牧区禁牧、休牧、轮牧和草畜平衡制度，坚持“以草定畜”，推动养殖方式升级转变，持续推行“舍饲圈养”和品种改良措施，推广紫花苜蓿、青贮玉米等优质饲草种植，加强饲草基地建设，强化秸秆饲料化利用，不断增大饲草供给，切实提高养殖效益。加强林地、草原监测预警和监督执法，强化林草地征占用审核审批，严厉打击非法开垦、采掘及偷牧、滥牧、私挖乱建等破坏森林草原植被违法行为。推动信息化手段加强林地、草地监控，强化林业、草原防火及有害生物防治，确保林业草原生态体系安全。到2025年，草原“三化”面积减少10万亩，植被覆盖率达到78.8%，沙地林草植被逐步恢复，草原退化沙化趋势得到有效遏制并向良性循环发展。</w:t>
      </w:r>
    </w:p>
    <w:p w14:paraId="038B0621">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加强地下水和湿地治理与保护</w:t>
      </w:r>
      <w:r>
        <w:rPr>
          <w:rFonts w:hint="eastAsia" w:ascii="楷体_GB2312" w:hAnsi="楷体_GB2312" w:eastAsia="楷体_GB2312" w:cs="楷体_GB2312"/>
          <w:b/>
          <w:bCs/>
        </w:rPr>
        <w:t>。</w:t>
      </w:r>
      <w:r>
        <w:rPr>
          <w:rFonts w:hint="eastAsia" w:ascii="仿宋_GB2312" w:hAnsi="仿宋_GB2312" w:eastAsia="仿宋_GB2312" w:cs="仿宋_GB2312"/>
          <w:szCs w:val="32"/>
          <w:lang w:val="en-US"/>
        </w:rPr>
        <w:t>落实“三线一单”要求</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严格</w:t>
      </w:r>
      <w:r>
        <w:rPr>
          <w:rFonts w:hint="eastAsia" w:ascii="仿宋_GB2312" w:hAnsi="仿宋_GB2312" w:eastAsia="仿宋_GB2312" w:cs="仿宋_GB2312"/>
          <w:szCs w:val="32"/>
        </w:rPr>
        <w:t>制定地下水位保护红线，加强地下水开发及开采监管，严控地下水超采。</w:t>
      </w:r>
      <w:r>
        <w:rPr>
          <w:rFonts w:hint="eastAsia" w:ascii="仿宋_GB2312" w:hAnsi="仿宋_GB2312" w:eastAsia="仿宋_GB2312" w:cs="仿宋_GB2312"/>
        </w:rPr>
        <w:t>完善农村牧区和城镇饮用水水质安全监管，</w:t>
      </w:r>
      <w:r>
        <w:rPr>
          <w:rFonts w:hint="eastAsia" w:ascii="仿宋_GB2312" w:hAnsi="仿宋_GB2312" w:eastAsia="仿宋_GB2312" w:cs="仿宋_GB2312"/>
          <w:szCs w:val="32"/>
        </w:rPr>
        <w:t>加强水源地环境风险防范，建立从水源到水龙头全过程监管体系，确保城乡居民饮用水安全。加强水源涵养区、河湖生态缓冲带科学划定，优化湿地生态系统结构，保护和恢复湿地生态功能，重点实施黄河滩地封育保护、退耕还湿、生态补水与湿地修复治理工程，推动龙头拐、捉鳖湾草原湿地和蒲圪卜、昭君蓄滞洪区创建自治区级自然保护区。坚持自然湿地保护与人工湿地建设相结合，对集中连片、破碎化严重和功能退化的自然湿地进行综合修复整治。</w:t>
      </w:r>
    </w:p>
    <w:p w14:paraId="169C21EE">
      <w:pPr>
        <w:spacing w:line="600" w:lineRule="exact"/>
        <w:ind w:firstLine="643"/>
        <w:rPr>
          <w:rFonts w:ascii="Times New Roman" w:hAnsi="Times New Roman" w:eastAsia="仿宋_GB2312" w:cs="Times New Roman"/>
          <w:szCs w:val="32"/>
        </w:rPr>
      </w:pPr>
      <w:r>
        <w:rPr>
          <w:rFonts w:hint="eastAsia" w:ascii="楷体_GB2312" w:hAnsi="楷体_GB2312" w:eastAsia="楷体_GB2312" w:cs="楷体_GB2312"/>
          <w:b/>
          <w:szCs w:val="32"/>
        </w:rPr>
        <w:t>推进矿山</w:t>
      </w:r>
      <w:r>
        <w:rPr>
          <w:rStyle w:val="34"/>
          <w:rFonts w:hint="eastAsia" w:ascii="楷体_GB2312" w:hAnsi="楷体_GB2312" w:eastAsia="楷体_GB2312" w:cs="楷体_GB2312"/>
        </w:rPr>
        <w:t>修复与荒漠化统防统治。</w:t>
      </w:r>
      <w:r>
        <w:rPr>
          <w:rFonts w:hint="eastAsia" w:ascii="仿宋_GB2312" w:hAnsi="仿宋_GB2312" w:eastAsia="仿宋_GB2312" w:cs="仿宋_GB2312"/>
          <w:bCs/>
          <w:szCs w:val="32"/>
        </w:rPr>
        <w:t>持续</w:t>
      </w:r>
      <w:r>
        <w:rPr>
          <w:rFonts w:hint="eastAsia" w:ascii="仿宋_GB2312" w:hAnsi="仿宋_GB2312" w:eastAsia="仿宋_GB2312" w:cs="仿宋_GB2312"/>
          <w:bCs/>
          <w:szCs w:val="32"/>
          <w:lang w:val="en-US"/>
        </w:rPr>
        <w:t>加强矿山修复与治理</w:t>
      </w:r>
      <w:r>
        <w:rPr>
          <w:rFonts w:hint="eastAsia" w:ascii="仿宋_GB2312" w:hAnsi="仿宋_GB2312" w:eastAsia="仿宋_GB2312" w:cs="仿宋_GB2312"/>
          <w:szCs w:val="32"/>
        </w:rPr>
        <w:t>，鼓励南部露天矿区、采煤沉陷区、采空区建设经济林、原料林和发展风光同场等产业项目，争创国家和自治区级绿色矿山。推进矿山生态环境修复，按照“谁污染、谁治理，谁破坏、谁修复”的原则，加强废弃矿区破坏土地、植被修复、地质灾害、水土流失、污染综合治理及采区、矿井回填，提升矿山地质环境恢复和矿山土地复垦水平。到2025年，全旗矿山治理率达77.3%以上。加强荒漠化综合防治，按照“分类施策、宜沙则沙、宜林则林、宜草则草”的原则，建设环库布其沙漠核心区的灌草与乔灌草</w:t>
      </w:r>
      <w:r>
        <w:rPr>
          <w:rFonts w:hint="eastAsia" w:ascii="仿宋_GB2312" w:hAnsi="仿宋_GB2312" w:eastAsia="仿宋_GB2312" w:cs="仿宋_GB2312"/>
          <w:szCs w:val="32"/>
          <w:lang w:val="en-US"/>
        </w:rPr>
        <w:t>相结合的立体防护生态</w:t>
      </w:r>
      <w:r>
        <w:rPr>
          <w:rFonts w:hint="eastAsia" w:ascii="仿宋_GB2312" w:hAnsi="仿宋_GB2312" w:eastAsia="仿宋_GB2312" w:cs="仿宋_GB2312"/>
          <w:szCs w:val="32"/>
        </w:rPr>
        <w:t>圈，提升库布其沙漠防风固沙、水土保持与生物多样性等生态服务功能，构建“一核两环十孔兑”库布其沙漠生态建设新格局，打造防沙治沙“库布其模式”升级版。大力推广“光伏+治沙”新模式，全力推动库布其沙漠光伏产业发展，着力打造全球沙漠化防治循环经济生态产业示范区，到2025年，新增沙漠治理面积40万亩以上。</w:t>
      </w:r>
    </w:p>
    <w:tbl>
      <w:tblPr>
        <w:tblStyle w:val="5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1483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897" w:type="dxa"/>
            <w:shd w:val="clear" w:color="auto" w:fill="FDE9D9" w:themeFill="accent6" w:themeFillTint="33"/>
            <w:vAlign w:val="center"/>
          </w:tcPr>
          <w:p w14:paraId="6AA4A62E">
            <w:pPr>
              <w:spacing w:line="240" w:lineRule="auto"/>
              <w:ind w:firstLine="562"/>
              <w:jc w:val="center"/>
              <w:rPr>
                <w:rFonts w:ascii="Times New Roman" w:hAnsi="Times New Roman" w:eastAsia="仿宋_GB2312" w:cs="Times New Roman"/>
                <w:sz w:val="24"/>
                <w:szCs w:val="24"/>
              </w:rPr>
            </w:pPr>
            <w:r>
              <w:rPr>
                <w:rFonts w:ascii="Times New Roman" w:hAnsi="Times New Roman" w:eastAsia="仿宋_GB2312" w:cs="Times New Roman"/>
                <w:b/>
                <w:sz w:val="28"/>
                <w:szCs w:val="24"/>
              </w:rPr>
              <w:t>专栏13： 黄河十大孔兑综合治理工程</w:t>
            </w:r>
          </w:p>
        </w:tc>
      </w:tr>
      <w:tr w14:paraId="6339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shd w:val="clear" w:color="auto" w:fill="E6E0EC" w:themeFill="accent4" w:themeFillTint="32"/>
          </w:tcPr>
          <w:p w14:paraId="677EFE3F">
            <w:pPr>
              <w:pStyle w:val="62"/>
              <w:numPr>
                <w:ilvl w:val="0"/>
                <w:numId w:val="2"/>
              </w:numPr>
              <w:spacing w:line="360" w:lineRule="auto"/>
              <w:ind w:firstLineChars="0"/>
              <w:rPr>
                <w:rFonts w:ascii="Times New Roman" w:hAnsi="Times New Roman" w:eastAsia="仿宋_GB2312" w:cs="Times New Roman"/>
                <w:sz w:val="28"/>
                <w:szCs w:val="28"/>
              </w:rPr>
            </w:pPr>
            <w:r>
              <w:rPr>
                <w:rFonts w:hint="eastAsia" w:ascii="仿宋_GB2312" w:hAnsi="Times New Roman" w:eastAsia="仿宋_GB2312" w:cs="Times New Roman"/>
                <w:b/>
                <w:bCs/>
                <w:sz w:val="24"/>
                <w:szCs w:val="24"/>
              </w:rPr>
              <w:t xml:space="preserve"> 十大孔兑综合治理工程。</w:t>
            </w:r>
            <w:r>
              <w:rPr>
                <w:rFonts w:hint="eastAsia" w:ascii="仿宋_GB2312" w:hAnsi="Times New Roman" w:eastAsia="仿宋_GB2312" w:cs="Times New Roman"/>
                <w:bCs/>
                <w:sz w:val="24"/>
                <w:szCs w:val="24"/>
              </w:rPr>
              <w:t>建设内容包括生态修复、林草生态、淤地坝建</w:t>
            </w:r>
          </w:p>
          <w:p w14:paraId="5C0E4EC9">
            <w:pPr>
              <w:spacing w:line="360" w:lineRule="auto"/>
              <w:ind w:firstLine="0" w:firstLineChars="0"/>
              <w:rPr>
                <w:rFonts w:ascii="Times New Roman" w:hAnsi="Times New Roman" w:eastAsia="仿宋_GB2312" w:cs="Times New Roman"/>
                <w:sz w:val="28"/>
                <w:szCs w:val="28"/>
              </w:rPr>
            </w:pPr>
            <w:r>
              <w:rPr>
                <w:rFonts w:hint="eastAsia" w:ascii="仿宋_GB2312" w:hAnsi="Times New Roman" w:eastAsia="仿宋_GB2312" w:cs="Times New Roman"/>
                <w:bCs/>
                <w:sz w:val="24"/>
                <w:szCs w:val="24"/>
              </w:rPr>
              <w:t>设、引洪滞沙工程、堤防工程、平原区高标准农田建设工程、耕地质量提升工程。生态修复工程建设规模：到2025年，十大孔兑（达旗片）上中游生态修复总面积13.67万hm</w:t>
            </w:r>
            <w:r>
              <w:rPr>
                <w:rFonts w:hint="eastAsia" w:ascii="仿宋_GB2312" w:hAnsi="Times New Roman" w:eastAsia="仿宋_GB2312" w:cs="Times New Roman"/>
                <w:bCs/>
                <w:sz w:val="24"/>
                <w:szCs w:val="24"/>
                <w:vertAlign w:val="superscript"/>
              </w:rPr>
              <w:t>2。</w:t>
            </w:r>
            <w:r>
              <w:rPr>
                <w:rFonts w:hint="eastAsia" w:ascii="仿宋_GB2312" w:hAnsi="Times New Roman" w:eastAsia="仿宋_GB2312" w:cs="Times New Roman"/>
                <w:bCs/>
                <w:sz w:val="24"/>
                <w:szCs w:val="24"/>
              </w:rPr>
              <w:t>林草生态工程建设规模：到2025年，十大孔兑（达旗片）上中游规划造林总面积11.26万 hm</w:t>
            </w:r>
            <w:r>
              <w:rPr>
                <w:rFonts w:hint="eastAsia" w:ascii="仿宋_GB2312" w:hAnsi="Times New Roman" w:eastAsia="仿宋_GB2312" w:cs="Times New Roman"/>
                <w:bCs/>
                <w:sz w:val="24"/>
                <w:szCs w:val="24"/>
                <w:vertAlign w:val="superscript"/>
              </w:rPr>
              <w:t>2</w:t>
            </w:r>
            <w:r>
              <w:rPr>
                <w:rFonts w:hint="eastAsia" w:ascii="仿宋_GB2312" w:hAnsi="Times New Roman" w:eastAsia="仿宋_GB2312" w:cs="Times New Roman"/>
                <w:bCs/>
                <w:sz w:val="24"/>
                <w:szCs w:val="24"/>
              </w:rPr>
              <w:t>。骨干坝系建设规模：到2025年，十大孔兑（达旗片）建成淤地坝342座。引洪滞沙工程建设规模：到2025年，建成10处工程总库容3.44亿m</w:t>
            </w:r>
            <w:r>
              <w:rPr>
                <w:rFonts w:hint="eastAsia" w:ascii="仿宋_GB2312" w:hAnsi="Times New Roman" w:eastAsia="仿宋_GB2312" w:cs="Times New Roman"/>
                <w:bCs/>
                <w:sz w:val="24"/>
                <w:szCs w:val="24"/>
                <w:vertAlign w:val="superscript"/>
              </w:rPr>
              <w:t>3</w:t>
            </w:r>
            <w:r>
              <w:rPr>
                <w:rFonts w:hint="eastAsia" w:ascii="仿宋_GB2312" w:hAnsi="Times New Roman" w:eastAsia="仿宋_GB2312" w:cs="Times New Roman"/>
                <w:bCs/>
                <w:sz w:val="24"/>
                <w:szCs w:val="24"/>
              </w:rPr>
              <w:t>，其中滞洪库容1.80亿m</w:t>
            </w:r>
            <w:r>
              <w:rPr>
                <w:rFonts w:hint="eastAsia" w:ascii="仿宋_GB2312" w:hAnsi="Times New Roman" w:eastAsia="仿宋_GB2312" w:cs="Times New Roman"/>
                <w:bCs/>
                <w:sz w:val="24"/>
                <w:szCs w:val="24"/>
                <w:vertAlign w:val="superscript"/>
              </w:rPr>
              <w:t>3</w:t>
            </w:r>
            <w:r>
              <w:rPr>
                <w:rFonts w:hint="eastAsia" w:ascii="仿宋_GB2312" w:hAnsi="Times New Roman" w:eastAsia="仿宋_GB2312" w:cs="Times New Roman"/>
                <w:bCs/>
                <w:sz w:val="24"/>
                <w:szCs w:val="24"/>
              </w:rPr>
              <w:t>、引沙库容折合1.63亿m</w:t>
            </w:r>
            <w:r>
              <w:rPr>
                <w:rFonts w:hint="eastAsia" w:ascii="仿宋_GB2312" w:hAnsi="Times New Roman" w:eastAsia="仿宋_GB2312" w:cs="Times New Roman"/>
                <w:bCs/>
                <w:sz w:val="24"/>
                <w:szCs w:val="24"/>
                <w:vertAlign w:val="superscript"/>
              </w:rPr>
              <w:t>3</w:t>
            </w:r>
            <w:r>
              <w:rPr>
                <w:rFonts w:hint="eastAsia" w:ascii="仿宋_GB2312" w:hAnsi="Times New Roman" w:eastAsia="仿宋_GB2312" w:cs="Times New Roman"/>
                <w:bCs/>
                <w:sz w:val="24"/>
                <w:szCs w:val="24"/>
              </w:rPr>
              <w:t>。堤防工程建设规模：到2025年，堤防加培及新建总长度147.69km，其中加高培厚堤防84.19km、新建堤防63.5km，十大孔兑下游堤防防洪标准除罕台川左岸为50年一遇、堤防等级为二级外，其余均为20年一遇、堤防等级为四级。平原区高标准农田建设工程规模：到2025年，新建平原区高标准农田4500hm</w:t>
            </w:r>
            <w:r>
              <w:rPr>
                <w:rFonts w:hint="eastAsia" w:ascii="仿宋_GB2312" w:hAnsi="Times New Roman" w:eastAsia="仿宋_GB2312" w:cs="Times New Roman"/>
                <w:bCs/>
                <w:sz w:val="24"/>
                <w:szCs w:val="24"/>
                <w:vertAlign w:val="superscript"/>
              </w:rPr>
              <w:t>2</w:t>
            </w:r>
            <w:r>
              <w:rPr>
                <w:rFonts w:hint="eastAsia" w:ascii="仿宋_GB2312" w:hAnsi="Times New Roman" w:eastAsia="仿宋_GB2312" w:cs="Times New Roman"/>
                <w:bCs/>
                <w:sz w:val="24"/>
                <w:szCs w:val="24"/>
              </w:rPr>
              <w:t>。耕地质量提升工程建设规模：到2025年，耕地质量提升面积达到5000hm</w:t>
            </w:r>
            <w:r>
              <w:rPr>
                <w:rFonts w:hint="eastAsia" w:ascii="仿宋_GB2312" w:hAnsi="Times New Roman" w:eastAsia="仿宋_GB2312" w:cs="Times New Roman"/>
                <w:bCs/>
                <w:sz w:val="24"/>
                <w:szCs w:val="24"/>
                <w:vertAlign w:val="superscript"/>
              </w:rPr>
              <w:t>2</w:t>
            </w:r>
            <w:r>
              <w:rPr>
                <w:rFonts w:hint="eastAsia" w:ascii="仿宋_GB2312" w:hAnsi="Times New Roman" w:eastAsia="仿宋_GB2312" w:cs="Times New Roman"/>
                <w:bCs/>
                <w:sz w:val="24"/>
                <w:szCs w:val="24"/>
              </w:rPr>
              <w:t>。</w:t>
            </w:r>
          </w:p>
        </w:tc>
      </w:tr>
    </w:tbl>
    <w:p w14:paraId="4CF83957">
      <w:pPr>
        <w:pStyle w:val="4"/>
        <w:spacing w:line="600" w:lineRule="exact"/>
        <w:rPr>
          <w:rFonts w:ascii="楷体_GB2312" w:hAnsi="楷体_GB2312" w:eastAsia="楷体_GB2312" w:cs="楷体_GB2312"/>
        </w:rPr>
      </w:pPr>
      <w:bookmarkStart w:id="660" w:name="_Toc756408675"/>
      <w:bookmarkStart w:id="661" w:name="_Toc30137"/>
      <w:bookmarkStart w:id="662" w:name="_Toc3225"/>
      <w:r>
        <w:rPr>
          <w:rFonts w:hint="eastAsia" w:ascii="楷体_GB2312" w:hAnsi="楷体_GB2312" w:eastAsia="楷体_GB2312" w:cs="楷体_GB2312"/>
        </w:rPr>
        <w:t>第三节 打好污染防治攻坚战，持续改善生态环境质量</w:t>
      </w:r>
      <w:bookmarkEnd w:id="660"/>
      <w:bookmarkEnd w:id="661"/>
      <w:bookmarkEnd w:id="662"/>
    </w:p>
    <w:p w14:paraId="5C3684CA">
      <w:pPr>
        <w:pStyle w:val="10"/>
        <w:spacing w:line="60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增强全社会生态环保意识，严控资源和环境承载底线，继续深入开展环境污染综合治理，建立地上地下、水陆空统筹的生态环境治理机制，完善污染物总量控制、环境质量提升约束性指标管理。</w:t>
      </w:r>
      <w:r>
        <w:rPr>
          <w:rStyle w:val="34"/>
          <w:rFonts w:hint="eastAsia" w:ascii="仿宋_GB2312" w:hAnsi="仿宋_GB2312" w:eastAsia="仿宋_GB2312" w:cs="仿宋_GB2312"/>
          <w:szCs w:val="32"/>
          <w:lang w:val="en-US"/>
        </w:rPr>
        <w:t>积极探索</w:t>
      </w:r>
      <w:r>
        <w:rPr>
          <w:rFonts w:hint="eastAsia" w:ascii="仿宋_GB2312" w:hAnsi="仿宋_GB2312" w:eastAsia="仿宋_GB2312" w:cs="仿宋_GB2312"/>
          <w:sz w:val="32"/>
          <w:szCs w:val="32"/>
        </w:rPr>
        <w:t>用水权、用能权、排污权、碳排放权等环境权益市场化交易，</w:t>
      </w:r>
      <w:r>
        <w:rPr>
          <w:rFonts w:hint="eastAsia" w:ascii="仿宋_GB2312" w:hAnsi="仿宋_GB2312" w:eastAsia="仿宋_GB2312" w:cs="仿宋_GB2312"/>
          <w:sz w:val="32"/>
          <w:szCs w:val="32"/>
          <w:lang w:val="en-US"/>
        </w:rPr>
        <w:t>全力</w:t>
      </w:r>
      <w:r>
        <w:rPr>
          <w:rFonts w:hint="eastAsia" w:ascii="仿宋_GB2312" w:hAnsi="仿宋_GB2312" w:eastAsia="仿宋_GB2312" w:cs="仿宋_GB2312"/>
          <w:sz w:val="32"/>
          <w:szCs w:val="32"/>
        </w:rPr>
        <w:t>推进碳排放交易市场建设，推动生态保护和污染防治科技成果转化应用，实现生态环境的良性循环，创建“黄河几字弯”生态优先绿色发展示范旗。</w:t>
      </w:r>
    </w:p>
    <w:p w14:paraId="3EF07B53">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加强水污染综合治理</w:t>
      </w:r>
      <w:r>
        <w:rPr>
          <w:rFonts w:hint="eastAsia" w:ascii="楷体_GB2312" w:hAnsi="楷体_GB2312" w:eastAsia="楷体_GB2312" w:cs="楷体_GB2312"/>
          <w:b/>
          <w:bCs/>
        </w:rPr>
        <w:t>。</w:t>
      </w:r>
      <w:r>
        <w:rPr>
          <w:rFonts w:hint="eastAsia" w:ascii="仿宋_GB2312" w:hAnsi="仿宋_GB2312" w:eastAsia="仿宋_GB2312" w:cs="仿宋_GB2312"/>
          <w:szCs w:val="32"/>
        </w:rPr>
        <w:t>实施农牧区生态清洁小流域建设，逐步消除农牧区黑臭水体。强化工业企业水污染防治，升级完善达拉特经济开发区污水处理厂、雨污分流管网等基础设施，支持含酚氰废水、高盐废水等工业废水处理新技术开发与应用，示范推广控源减排和清洁生产先进技术，提高工业废水处置能力，促进工业废水的达标排放。加快实施城乡污水处理设施建设和提标改造工程，推进城镇排水系统雨污分流改造，实现城镇污水管网全覆盖。到2025年，中心城区生活污水处理率达到96.5%以上，农村牧区生活污水处理率达到50%以上。建立健全地下水污染防治规划体系和建成预警体系，系统防治工业固废处置场、垃圾填埋场、矿产资源开发场地等重点区域地下水污染。加强地下水环境监测能力的建设，大力推进数据共享机制。</w:t>
      </w:r>
    </w:p>
    <w:p w14:paraId="7D6896FE">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推进大气污染防治</w:t>
      </w:r>
      <w:r>
        <w:rPr>
          <w:rFonts w:hint="eastAsia" w:ascii="楷体_GB2312" w:hAnsi="楷体_GB2312" w:eastAsia="楷体_GB2312" w:cs="楷体_GB2312"/>
          <w:b/>
          <w:bCs/>
        </w:rPr>
        <w:t>。</w:t>
      </w:r>
      <w:r>
        <w:rPr>
          <w:rFonts w:hint="eastAsia" w:ascii="仿宋_GB2312" w:hAnsi="仿宋_GB2312" w:eastAsia="仿宋_GB2312" w:cs="仿宋_GB2312"/>
          <w:szCs w:val="32"/>
          <w:lang w:val="en-US"/>
        </w:rPr>
        <w:t>以</w:t>
      </w:r>
      <w:r>
        <w:rPr>
          <w:rFonts w:hint="eastAsia" w:ascii="仿宋_GB2312" w:hAnsi="仿宋_GB2312" w:eastAsia="仿宋_GB2312" w:cs="仿宋_GB2312"/>
          <w:szCs w:val="32"/>
        </w:rPr>
        <w:t>降污减碳协同治理</w:t>
      </w:r>
      <w:r>
        <w:rPr>
          <w:rFonts w:hint="eastAsia" w:ascii="仿宋_GB2312" w:hAnsi="仿宋_GB2312" w:eastAsia="仿宋_GB2312" w:cs="仿宋_GB2312"/>
          <w:szCs w:val="32"/>
          <w:lang w:val="en-US"/>
        </w:rPr>
        <w:t>为主线</w:t>
      </w:r>
      <w:r>
        <w:rPr>
          <w:rFonts w:ascii="仿宋_GB2312" w:hAnsi="仿宋_GB2312" w:eastAsia="仿宋_GB2312" w:cs="仿宋_GB2312"/>
          <w:szCs w:val="32"/>
        </w:rPr>
        <w:t>，</w:t>
      </w:r>
      <w:r>
        <w:rPr>
          <w:rFonts w:hint="eastAsia" w:ascii="仿宋_GB2312" w:hAnsi="仿宋_GB2312" w:eastAsia="仿宋_GB2312" w:cs="仿宋_GB2312"/>
          <w:szCs w:val="32"/>
        </w:rPr>
        <w:t>大力推动区域大气污染联防联控，积极参与呼包鄂区域联动一体应急响应体系建设，实施“减排、抑尘、压煤、治车、控秸、增绿”六策并举，协同开展区域大气污染综合整治。加强工业污染源防治，</w:t>
      </w:r>
      <w:r>
        <w:rPr>
          <w:rFonts w:hint="eastAsia" w:ascii="仿宋_GB2312" w:hAnsi="仿宋_GB2312" w:eastAsia="仿宋_GB2312" w:cs="仿宋_GB2312"/>
          <w:szCs w:val="32"/>
          <w:lang w:val="en-US"/>
        </w:rPr>
        <w:t>深化“管发展必须管节能、管生产必须管节能、管行业必须管节能”的理念，</w:t>
      </w:r>
      <w:r>
        <w:rPr>
          <w:rFonts w:hint="eastAsia" w:ascii="仿宋_GB2312" w:hAnsi="仿宋_GB2312" w:eastAsia="仿宋_GB2312" w:cs="仿宋_GB2312"/>
          <w:color w:val="000007"/>
          <w:szCs w:val="32"/>
          <w:lang w:val="en-US"/>
        </w:rPr>
        <w:t>大力加强能耗双控</w:t>
      </w:r>
      <w:r>
        <w:rPr>
          <w:rFonts w:ascii="仿宋_GB2312" w:hAnsi="仿宋_GB2312" w:eastAsia="仿宋_GB2312" w:cs="仿宋_GB2312"/>
          <w:szCs w:val="32"/>
        </w:rPr>
        <w:t>，</w:t>
      </w:r>
      <w:r>
        <w:rPr>
          <w:rFonts w:hint="eastAsia" w:ascii="仿宋_GB2312" w:hAnsi="仿宋_GB2312" w:eastAsia="仿宋_GB2312" w:cs="仿宋_GB2312"/>
          <w:szCs w:val="32"/>
        </w:rPr>
        <w:t>实施源头整治、科学管控、精准施治。加快工业产业结构调整，</w:t>
      </w:r>
      <w:r>
        <w:rPr>
          <w:rFonts w:hint="eastAsia" w:ascii="仿宋_GB2312" w:hAnsi="仿宋_GB2312" w:eastAsia="仿宋_GB2312" w:cs="仿宋_GB2312"/>
          <w:szCs w:val="32"/>
          <w:lang w:val="en-US"/>
        </w:rPr>
        <w:t>推进传统能源清洁化利用和清洁能源规模化利用</w:t>
      </w:r>
      <w:r>
        <w:rPr>
          <w:rFonts w:ascii="仿宋_GB2312" w:hAnsi="仿宋_GB2312" w:eastAsia="仿宋_GB2312" w:cs="仿宋_GB2312"/>
          <w:szCs w:val="32"/>
        </w:rPr>
        <w:t>，</w:t>
      </w:r>
      <w:r>
        <w:rPr>
          <w:rFonts w:hint="eastAsia" w:ascii="仿宋_GB2312" w:hAnsi="仿宋_GB2312" w:eastAsia="仿宋_GB2312" w:cs="仿宋_GB2312"/>
          <w:szCs w:val="32"/>
          <w:lang w:val="en-US"/>
        </w:rPr>
        <w:t>加快节能减排改造</w:t>
      </w:r>
      <w:r>
        <w:rPr>
          <w:rFonts w:ascii="仿宋_GB2312" w:hAnsi="仿宋_GB2312" w:eastAsia="仿宋_GB2312" w:cs="仿宋_GB2312"/>
          <w:szCs w:val="32"/>
        </w:rPr>
        <w:t>，</w:t>
      </w:r>
      <w:r>
        <w:rPr>
          <w:rFonts w:hint="eastAsia" w:ascii="仿宋_GB2312" w:hAnsi="仿宋_GB2312" w:eastAsia="仿宋_GB2312" w:cs="仿宋_GB2312"/>
          <w:szCs w:val="32"/>
        </w:rPr>
        <w:t>严控“两高”行业新增产能，逐步淘汰煤炭、化工、冶金、建材等行业落后产能。加强工业废气排放管理，推进重点行业超低排放改造，重点推进工业扬尘治理，加大对挥发性有机物VOCs的治理力度。加强生活源污染治理，统筹布局煤改气、煤改电、地热能利用等措施，优化民生能源供给结构，严格控制餐饮油烟污染。加强移动源污染管理，强化机动车尾气检测，推进汽车油改气，推广新能源汽车，大力发展公共交通，倡导绿色出行，减少移动源废气排放。严格实施污染物排放总量控制，对新增大气污染物排放量建设项目，实施等量替代治理措施。强化主要污染源</w:t>
      </w:r>
      <w:r>
        <w:rPr>
          <w:rFonts w:hint="eastAsia" w:ascii="仿宋_GB2312" w:hAnsi="仿宋_GB2312" w:eastAsia="仿宋_GB2312" w:cs="仿宋_GB2312"/>
          <w:szCs w:val="32"/>
          <w:lang w:val="en-US"/>
        </w:rPr>
        <w:t>协同治理与</w:t>
      </w:r>
      <w:r>
        <w:rPr>
          <w:rFonts w:hint="eastAsia" w:ascii="仿宋_GB2312" w:hAnsi="仿宋_GB2312" w:eastAsia="仿宋_GB2312" w:cs="仿宋_GB2312"/>
          <w:szCs w:val="32"/>
        </w:rPr>
        <w:t>达标排放，推进臭氧和PM2.5协同治理，实施季节性、差异化管控措施，强化温室气体排放控制管理，开展二氧化碳排放达峰行动。加大重污染天气应对力度，提高预测预能力，全旗环境空气优良天数达到85%以上。</w:t>
      </w:r>
    </w:p>
    <w:p w14:paraId="10A385E9">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加强土壤污染防治</w:t>
      </w:r>
      <w:r>
        <w:rPr>
          <w:rFonts w:hint="eastAsia" w:ascii="楷体_GB2312" w:hAnsi="楷体_GB2312" w:eastAsia="楷体_GB2312" w:cs="楷体_GB2312"/>
          <w:b/>
          <w:bCs/>
        </w:rPr>
        <w:t>。</w:t>
      </w:r>
      <w:r>
        <w:rPr>
          <w:rFonts w:hint="eastAsia" w:ascii="仿宋_GB2312" w:hAnsi="仿宋_GB2312" w:eastAsia="仿宋_GB2312" w:cs="仿宋_GB2312"/>
          <w:szCs w:val="32"/>
        </w:rPr>
        <w:t>推进农用地安全利用，确定安全利用耕地集中区域，实施农用地土壤环境质量分级分类管理，强化未污染土壤保护，严控新增土壤污染，加强污染源监管，做好土壤污染预防，开展土壤污染治理与修复，改善区域土壤环境质量。加强建设用地土壤污染风险管控，建立污染地块名录及开发利用的负面清单，强化土壤污染重点单位监管，落实土壤污染隐患排查和自行监测制度。推进污泥无害化处理处置，确保污泥无害化处理处置率达到100%。</w:t>
      </w:r>
    </w:p>
    <w:p w14:paraId="6F5C5170">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US"/>
        </w:rPr>
        <w:t>强化</w:t>
      </w:r>
      <w:r>
        <w:rPr>
          <w:rStyle w:val="34"/>
          <w:rFonts w:hint="eastAsia" w:ascii="楷体_GB2312" w:hAnsi="楷体_GB2312" w:eastAsia="楷体_GB2312" w:cs="楷体_GB2312"/>
        </w:rPr>
        <w:t>农业面源污染管控。</w:t>
      </w:r>
      <w:r>
        <w:rPr>
          <w:rFonts w:hint="eastAsia" w:ascii="仿宋_GB2312" w:hAnsi="仿宋_GB2312" w:eastAsia="仿宋_GB2312" w:cs="仿宋_GB2312"/>
          <w:szCs w:val="32"/>
        </w:rPr>
        <w:t>严格控制畜禽养殖污染，严格落实新建、改建养殖设施“三同时”和排污许可制度，推行生态循环养殖模式，大力发展畜禽粪便综合开发利用。加强农药、化肥施用管控，推广农作物病虫综合防治技术，鼓励使用高效低毒低残留农药。加强测土配方施肥及秸秆综合利用技术应用，提高肥料利用率。完善城乡一体化污水收集处理体系，加快推进农村户改厕进度，加强农村生活污水治理，提升生活污水接管率。广泛开展农村生活垃圾家庭分类试点，探索就地相对安全处置技术模式。做好土壤污染防治和改良工作，持续探索盐碱地改造新方法。</w:t>
      </w:r>
    </w:p>
    <w:p w14:paraId="4824DF81">
      <w:pPr>
        <w:pStyle w:val="22"/>
        <w:spacing w:line="600" w:lineRule="exact"/>
        <w:ind w:firstLine="640" w:firstLineChars="200"/>
      </w:pPr>
      <w:r>
        <w:rPr>
          <w:rStyle w:val="34"/>
          <w:rFonts w:hint="eastAsia" w:ascii="楷体_GB2312" w:hAnsi="楷体_GB2312" w:eastAsia="楷体_GB2312" w:cs="楷体_GB2312"/>
          <w:b w:val="0"/>
          <w:bCs w:val="0"/>
        </w:rPr>
        <w:t>积极应对气候变化。</w:t>
      </w:r>
      <w:r>
        <w:rPr>
          <w:rFonts w:hint="eastAsia" w:ascii="仿宋_GB2312" w:hAnsi="仿宋_GB2312" w:eastAsia="仿宋_GB2312" w:cs="仿宋_GB2312"/>
          <w:b w:val="0"/>
          <w:bCs w:val="0"/>
          <w:sz w:val="32"/>
          <w:szCs w:val="32"/>
        </w:rPr>
        <w:t>强化应对气候变化能力建设，开展二氧化碳排放达峰行动，根据国家、自治区和市政府要求，制定碳达峰时间表和路线图</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探索重点行业碳排放达峰路径</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开展非二氧化碳温室气体排放管理</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rPr>
        <w:t>努力实现</w:t>
      </w:r>
      <w:r>
        <w:rPr>
          <w:rFonts w:ascii="仿宋_GB2312" w:hAnsi="仿宋_GB2312" w:eastAsia="仿宋_GB2312" w:cs="仿宋_GB2312"/>
          <w:b w:val="0"/>
          <w:bCs w:val="0"/>
          <w:sz w:val="32"/>
          <w:szCs w:val="32"/>
        </w:rPr>
        <w:t>2030</w:t>
      </w:r>
      <w:r>
        <w:rPr>
          <w:rFonts w:hint="eastAsia" w:ascii="仿宋_GB2312" w:hAnsi="仿宋_GB2312" w:eastAsia="仿宋_GB2312" w:cs="仿宋_GB2312"/>
          <w:b w:val="0"/>
          <w:bCs w:val="0"/>
          <w:sz w:val="32"/>
          <w:szCs w:val="32"/>
          <w:lang w:val="en-US"/>
        </w:rPr>
        <w:t>年前碳达峰目标</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落实碳排放权交易，做好碳排放核算工作，扩大和完善碳排放交易市场建设。</w:t>
      </w:r>
    </w:p>
    <w:p w14:paraId="5BFB86F6">
      <w:pPr>
        <w:pStyle w:val="4"/>
        <w:spacing w:line="600" w:lineRule="exact"/>
        <w:rPr>
          <w:rFonts w:ascii="楷体_GB2312" w:hAnsi="楷体_GB2312" w:eastAsia="楷体_GB2312" w:cs="楷体_GB2312"/>
        </w:rPr>
      </w:pPr>
      <w:bookmarkStart w:id="663" w:name="_Toc15330"/>
      <w:bookmarkStart w:id="664" w:name="_Toc17084"/>
      <w:bookmarkStart w:id="665" w:name="_Toc2004894132"/>
      <w:r>
        <w:rPr>
          <w:rFonts w:hint="eastAsia" w:ascii="楷体_GB2312" w:hAnsi="楷体_GB2312" w:eastAsia="楷体_GB2312" w:cs="楷体_GB2312"/>
        </w:rPr>
        <w:t>第四节 大力发展循环经济，全面提高资源利用效率</w:t>
      </w:r>
      <w:bookmarkEnd w:id="663"/>
      <w:bookmarkEnd w:id="664"/>
      <w:bookmarkEnd w:id="665"/>
    </w:p>
    <w:p w14:paraId="329E917D">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贯彻落实绿色发展理念，持续推进能源和水资源消耗、建设用地总量和强度“双控”行动，推动土地、水资源节约集约高效利用，推动形成绿色、循环、低碳的生产方式和科学、文明、理性的绿色低碳生活方式，建设资源节约型、环境友好型社会。</w:t>
      </w:r>
    </w:p>
    <w:p w14:paraId="225814A8">
      <w:pPr>
        <w:spacing w:line="600" w:lineRule="exact"/>
        <w:ind w:firstLine="643"/>
      </w:pPr>
      <w:r>
        <w:rPr>
          <w:rStyle w:val="34"/>
          <w:rFonts w:hint="eastAsia" w:ascii="楷体_GB2312" w:hAnsi="楷体_GB2312" w:eastAsia="楷体_GB2312" w:cs="楷体_GB2312"/>
        </w:rPr>
        <w:t>推动水资源可持续发展</w:t>
      </w:r>
      <w:r>
        <w:rPr>
          <w:rFonts w:hint="eastAsia" w:ascii="楷体_GB2312" w:hAnsi="楷体_GB2312" w:eastAsia="楷体_GB2312" w:cs="楷体_GB2312"/>
          <w:b/>
          <w:bCs/>
        </w:rPr>
        <w:t>。</w:t>
      </w:r>
      <w:r>
        <w:rPr>
          <w:rFonts w:hint="eastAsia" w:ascii="仿宋_GB2312" w:hAnsi="仿宋_GB2312" w:eastAsia="仿宋_GB2312" w:cs="仿宋_GB2312"/>
          <w:szCs w:val="32"/>
        </w:rPr>
        <w:t>加快制定和完善水资源保护专项规划，科学划定水功能区，强化水资源、生态环境和涵养水源保护。开展水生态健康评估、水体功能定位和水环境承载力监测评价预警，强化水体保护，坚决取缔非法入河排污口，防范黄河流域饮用水风险。坚持“以水定城、以水定地、以水定人、以水定产”，对水资源消耗进行刚性约束，坚定实施“节水优先”战略，坚决抑制不合理用水需求，大力发展节水产业与相关技术，建立高效输水、排水、节水工程体系，提高水资源利用效率，巩固国家节水型社会创建成果。大力推动农业高效节水工程，加大灌溉农业区干支渠和末级渠系和节水设施配套，大力推广渠道防渗、管道水、滴灌、智能灌等节水技术。推进工业节水改造，强化用水管理，开展重点企业节水和再生水回用改造，严控高耗水项目。加大工业废水、矿井疏干水、雨洪与凌汛、生活污水等再生水处理回收利用，推进能源、化工、建材等高耗水产业节水增效</w:t>
      </w:r>
      <w:r>
        <w:rPr>
          <w:rFonts w:ascii="仿宋_GB2312" w:hAnsi="仿宋_GB2312" w:eastAsia="仿宋_GB2312" w:cs="仿宋_GB2312"/>
          <w:szCs w:val="32"/>
        </w:rPr>
        <w:t>，</w:t>
      </w:r>
      <w:r>
        <w:rPr>
          <w:rFonts w:hint="eastAsia" w:ascii="仿宋_GB2312" w:hAnsi="仿宋_GB2312" w:eastAsia="仿宋_GB2312" w:cs="仿宋_GB2312"/>
          <w:szCs w:val="32"/>
        </w:rPr>
        <w:t>促进水资源可持续发展。</w:t>
      </w:r>
    </w:p>
    <w:p w14:paraId="42717E63">
      <w:pPr>
        <w:spacing w:line="600" w:lineRule="exact"/>
        <w:ind w:firstLine="643"/>
        <w:rPr>
          <w:rFonts w:ascii="仿宋_GB2312" w:hAnsi="仿宋_GB2312" w:eastAsia="仿宋_GB2312" w:cs="仿宋_GB2312"/>
        </w:rPr>
      </w:pPr>
      <w:r>
        <w:rPr>
          <w:rStyle w:val="34"/>
          <w:rFonts w:hint="eastAsia" w:ascii="楷体_GB2312" w:hAnsi="楷体_GB2312" w:eastAsia="楷体_GB2312" w:cs="楷体_GB2312"/>
        </w:rPr>
        <w:t>加强土地资源节约集约利用</w:t>
      </w:r>
      <w:r>
        <w:rPr>
          <w:rFonts w:hint="eastAsia" w:ascii="楷体_GB2312" w:hAnsi="楷体_GB2312" w:eastAsia="楷体_GB2312" w:cs="楷体_GB2312"/>
          <w:b/>
          <w:bCs/>
        </w:rPr>
        <w:t>。</w:t>
      </w:r>
      <w:r>
        <w:rPr>
          <w:rFonts w:hint="eastAsia" w:ascii="仿宋_GB2312" w:hAnsi="仿宋_GB2312" w:eastAsia="仿宋_GB2312" w:cs="仿宋_GB2312"/>
        </w:rPr>
        <w:t>按照“严控增量、盘活存量、优化结构、提高效率”原则，加强土地利用的规划管控、市场调节、标准控制和考核监督，严格土地用途管制，做好“批而未供”土地消化、闲置土地处置，规范城乡基准地价体系，提高土地利用效率。大力推进增减挂钩工作，建立并落实年度新增建设用地指标的奖惩制度，积极推进增减挂钩周转指标实施。规范耕地占补平衡，强化对城乡各类建设占用耕地的控制和引导。鼓励低效用地增容改造和深度开发，促进建设用地节约集约利用。稳步推进农村集体建设用地节约集约利用。加强沙地、盐碱地等未利用地的开发利用，深入推进采矿临时用地复垦，积极开展工矿废弃地复垦利用。探索实行耕地轮作休耕制度，促进土地资源的可持续利用。</w:t>
      </w:r>
    </w:p>
    <w:p w14:paraId="2370CFBD">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加快发展循环经济</w:t>
      </w:r>
      <w:r>
        <w:rPr>
          <w:rFonts w:hint="eastAsia" w:ascii="楷体_GB2312" w:hAnsi="楷体_GB2312" w:eastAsia="楷体_GB2312" w:cs="楷体_GB2312"/>
          <w:b/>
          <w:bCs/>
        </w:rPr>
        <w:t>。</w:t>
      </w:r>
      <w:r>
        <w:rPr>
          <w:rFonts w:hint="eastAsia" w:ascii="仿宋_GB2312" w:hAnsi="仿宋_GB2312" w:eastAsia="仿宋_GB2312" w:cs="仿宋_GB2312"/>
          <w:szCs w:val="32"/>
        </w:rPr>
        <w:t>以科技创新支撑绿色发展，加快培育壮大节能环保、清洁生产、清洁能源产业，提高全社会资源产出率。突出企业主体地位，制定奖补激励措施，引导企业增加工业固废物资源化技术研发投入，提升工业固废物综合利用和处置水平，提高再生资源及产品的附加值，构建循环经济产业链。强化危化废物、医疗废物等安全处置，加强对电子废物、废轮胎、废塑料等再生资源开发利用，推进中心城区垃圾焚烧发电项目建设。加强农牧业废物资源开发利用，切实抓好农膜、畜禽粪污回收转化利用，加强生活污水、生活垃圾和建筑垃圾无害化处理回收，鼓励家庭、村镇厨余垃圾资源化处理。大力倡导绿色生活方式，加强生态文明宣传教育，普及生态环境保护知识，引导群众树立健康、适度的生活观；推广绿色出行和绿色消费习惯，倡导勤俭节约、绿色低碳社会新风尚，形成绿色低碳的生活方式和消费模式，推进全民节能行动。</w:t>
      </w:r>
    </w:p>
    <w:p w14:paraId="4DE8A5D4">
      <w:pPr>
        <w:pStyle w:val="4"/>
        <w:spacing w:line="600" w:lineRule="exact"/>
        <w:rPr>
          <w:rFonts w:ascii="楷体_GB2312" w:hAnsi="楷体_GB2312" w:eastAsia="楷体_GB2312" w:cs="楷体_GB2312"/>
        </w:rPr>
      </w:pPr>
      <w:bookmarkStart w:id="666" w:name="_Toc4736"/>
      <w:bookmarkStart w:id="667" w:name="_Toc20873"/>
      <w:bookmarkStart w:id="668" w:name="_Toc89771447"/>
      <w:r>
        <w:rPr>
          <w:rFonts w:hint="eastAsia" w:ascii="楷体_GB2312" w:hAnsi="楷体_GB2312" w:eastAsia="楷体_GB2312" w:cs="楷体_GB2312"/>
        </w:rPr>
        <w:t>第五节 健全生态</w:t>
      </w:r>
      <w:r>
        <w:rPr>
          <w:rFonts w:hint="eastAsia" w:ascii="楷体_GB2312" w:hAnsi="楷体_GB2312" w:eastAsia="楷体_GB2312" w:cs="楷体_GB2312"/>
          <w:lang w:val="en-US"/>
        </w:rPr>
        <w:t>环保制度</w:t>
      </w:r>
      <w:r>
        <w:rPr>
          <w:rFonts w:hint="eastAsia" w:ascii="楷体_GB2312" w:hAnsi="楷体_GB2312" w:eastAsia="楷体_GB2312" w:cs="楷体_GB2312"/>
        </w:rPr>
        <w:t>，提升环境质量监管水平</w:t>
      </w:r>
      <w:bookmarkEnd w:id="666"/>
      <w:bookmarkEnd w:id="667"/>
      <w:bookmarkEnd w:id="668"/>
    </w:p>
    <w:p w14:paraId="55F7C339">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加快制度创新，强化制度执行，补齐制度短板，为生态文明建设夯实制度保障。完善航测、实测、在线监测等监管手段，加强信息化平台建设，提高监管效率。加强基层队伍能力建设，强化环境执法，从严打击各类环境违法行为。强化环境保护法律的普及，增强全社会爱护环境、保护生态意识。</w:t>
      </w:r>
    </w:p>
    <w:p w14:paraId="2D28E8B2">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加强环境监管网络建设</w:t>
      </w:r>
      <w:r>
        <w:rPr>
          <w:rFonts w:hint="eastAsia" w:ascii="楷体_GB2312" w:hAnsi="楷体_GB2312" w:eastAsia="楷体_GB2312" w:cs="楷体_GB2312"/>
          <w:b/>
          <w:bCs/>
        </w:rPr>
        <w:t>。</w:t>
      </w:r>
      <w:r>
        <w:rPr>
          <w:rFonts w:hint="eastAsia" w:ascii="仿宋_GB2312" w:hAnsi="仿宋_GB2312" w:eastAsia="仿宋_GB2312" w:cs="仿宋_GB2312"/>
          <w:szCs w:val="32"/>
        </w:rPr>
        <w:t>引入信息化等新技术新手段，加强环境预警监测和污染源排放监测能力建设，建成严格的环境</w:t>
      </w:r>
      <w:r>
        <w:rPr>
          <w:rFonts w:hint="eastAsia" w:ascii="仿宋_GB2312" w:hAnsi="仿宋_GB2312" w:eastAsia="仿宋_GB2312" w:cs="仿宋_GB2312"/>
          <w:szCs w:val="32"/>
          <w:lang w:val="en-US"/>
        </w:rPr>
        <w:t>监管</w:t>
      </w:r>
      <w:r>
        <w:rPr>
          <w:rFonts w:hint="eastAsia" w:ascii="仿宋_GB2312" w:hAnsi="仿宋_GB2312" w:eastAsia="仿宋_GB2312" w:cs="仿宋_GB2312"/>
          <w:szCs w:val="32"/>
        </w:rPr>
        <w:t>执法体系</w:t>
      </w:r>
      <w:r>
        <w:rPr>
          <w:rFonts w:hint="eastAsia" w:ascii="仿宋_GB2312" w:hAnsi="仿宋_GB2312" w:eastAsia="仿宋_GB2312" w:cs="仿宋_GB2312"/>
          <w:szCs w:val="32"/>
          <w:lang w:val="en-US"/>
        </w:rPr>
        <w:t>和</w:t>
      </w:r>
      <w:r>
        <w:rPr>
          <w:rFonts w:hint="eastAsia" w:ascii="仿宋_GB2312" w:hAnsi="仿宋_GB2312" w:eastAsia="仿宋_GB2312" w:cs="仿宋_GB2312"/>
          <w:szCs w:val="32"/>
        </w:rPr>
        <w:t>先进的环境</w:t>
      </w:r>
      <w:r>
        <w:rPr>
          <w:rFonts w:hint="eastAsia" w:ascii="仿宋_GB2312" w:hAnsi="仿宋_GB2312" w:eastAsia="仿宋_GB2312" w:cs="仿宋_GB2312"/>
          <w:szCs w:val="32"/>
          <w:lang w:val="en-US"/>
        </w:rPr>
        <w:t>监控</w:t>
      </w:r>
      <w:r>
        <w:rPr>
          <w:rFonts w:hint="eastAsia" w:ascii="仿宋_GB2312" w:hAnsi="仿宋_GB2312" w:eastAsia="仿宋_GB2312" w:cs="仿宋_GB2312"/>
          <w:szCs w:val="32"/>
        </w:rPr>
        <w:t>体系</w:t>
      </w:r>
      <w:r>
        <w:rPr>
          <w:rFonts w:hint="eastAsia" w:ascii="仿宋_GB2312" w:hAnsi="仿宋_GB2312" w:eastAsia="仿宋_GB2312" w:cs="仿宋_GB2312"/>
        </w:rPr>
        <w:t>。</w:t>
      </w:r>
      <w:r>
        <w:rPr>
          <w:rFonts w:hint="eastAsia" w:ascii="仿宋_GB2312" w:hAnsi="仿宋_GB2312" w:eastAsia="仿宋_GB2312" w:cs="仿宋_GB2312"/>
          <w:szCs w:val="32"/>
        </w:rPr>
        <w:t>继续落实网格化监管要求，形成覆盖全旗的环境监管网络，确保日常生态环境监管横向到边、纵向到底、不留死角。严格执行生态环保法律法规，加大工业园区等重点区域、重点行业、重点企业的环境监管力度，严厉打击各类生态环境违法行为，促进生态环境守法常态化。</w:t>
      </w:r>
    </w:p>
    <w:p w14:paraId="6DAD3DAA">
      <w:pPr>
        <w:spacing w:line="600" w:lineRule="exact"/>
        <w:ind w:firstLine="643"/>
        <w:rPr>
          <w:rFonts w:ascii="Times New Roman" w:hAnsi="Times New Roman" w:eastAsia="仿宋_GB2312" w:cs="Times New Roman"/>
        </w:rPr>
      </w:pPr>
      <w:r>
        <w:rPr>
          <w:rStyle w:val="34"/>
          <w:rFonts w:hint="eastAsia" w:ascii="楷体_GB2312" w:hAnsi="楷体_GB2312" w:eastAsia="楷体_GB2312" w:cs="楷体_GB2312"/>
        </w:rPr>
        <w:t>健全河流水质监控监测制度</w:t>
      </w:r>
      <w:r>
        <w:rPr>
          <w:rFonts w:hint="eastAsia" w:ascii="楷体_GB2312" w:hAnsi="楷体_GB2312" w:eastAsia="楷体_GB2312" w:cs="楷体_GB2312"/>
          <w:b/>
          <w:bCs/>
        </w:rPr>
        <w:t>。</w:t>
      </w:r>
      <w:r>
        <w:rPr>
          <w:rFonts w:hint="eastAsia" w:ascii="仿宋_GB2312" w:hAnsi="仿宋_GB2312" w:eastAsia="仿宋_GB2312" w:cs="仿宋_GB2312"/>
          <w:szCs w:val="32"/>
        </w:rPr>
        <w:t>建立流域上下游联合监测机制，加强河流跨界断面、主要交汇处、重点水域的</w:t>
      </w:r>
      <w:r>
        <w:rPr>
          <w:rFonts w:hint="eastAsia" w:ascii="仿宋_GB2312" w:hAnsi="仿宋_GB2312" w:eastAsia="仿宋_GB2312" w:cs="仿宋_GB2312"/>
          <w:szCs w:val="32"/>
          <w:lang w:val="en-US"/>
        </w:rPr>
        <w:t>水环境监测</w:t>
      </w:r>
      <w:r>
        <w:rPr>
          <w:rFonts w:hint="eastAsia" w:ascii="仿宋_GB2312" w:hAnsi="仿宋_GB2312" w:eastAsia="仿宋_GB2312" w:cs="仿宋_GB2312"/>
        </w:rPr>
        <w:t>，</w:t>
      </w:r>
      <w:r>
        <w:rPr>
          <w:rFonts w:hint="eastAsia" w:ascii="仿宋_GB2312" w:hAnsi="仿宋_GB2312" w:eastAsia="仿宋_GB2312" w:cs="仿宋_GB2312"/>
          <w:szCs w:val="32"/>
        </w:rPr>
        <w:t>大力推进流域水环境综合治理，</w:t>
      </w:r>
      <w:r>
        <w:rPr>
          <w:rFonts w:hint="eastAsia" w:ascii="仿宋_GB2312" w:hAnsi="仿宋_GB2312" w:eastAsia="仿宋_GB2312" w:cs="仿宋_GB2312"/>
        </w:rPr>
        <w:t>增强突发水污染处置应急监测能力，</w:t>
      </w:r>
      <w:r>
        <w:rPr>
          <w:rFonts w:hint="eastAsia" w:ascii="仿宋_GB2312" w:hAnsi="仿宋_GB2312" w:eastAsia="仿宋_GB2312" w:cs="仿宋_GB2312"/>
          <w:szCs w:val="32"/>
        </w:rPr>
        <w:t>实现十大孔兑、两大水库断面等监测网络全覆盖，市控河流水质监测率达到100%。加大日常比对监测频次，确保地表水旗区分界断面水质和工业企业排水水质、水量安全达标。</w:t>
      </w:r>
    </w:p>
    <w:p w14:paraId="3DF367D3">
      <w:pPr>
        <w:spacing w:line="600" w:lineRule="exact"/>
        <w:ind w:firstLine="643"/>
      </w:pPr>
      <w:r>
        <w:rPr>
          <w:rStyle w:val="34"/>
          <w:rFonts w:hint="eastAsia" w:ascii="楷体_GB2312" w:hAnsi="楷体_GB2312" w:eastAsia="楷体_GB2312" w:cs="楷体_GB2312"/>
        </w:rPr>
        <w:t>提升环境风险防控及应急处置能力</w:t>
      </w:r>
      <w:r>
        <w:rPr>
          <w:rFonts w:hint="eastAsia" w:ascii="楷体_GB2312" w:hAnsi="楷体_GB2312" w:eastAsia="楷体_GB2312" w:cs="楷体_GB2312"/>
          <w:b/>
          <w:bCs/>
        </w:rPr>
        <w:t>。</w:t>
      </w:r>
      <w:r>
        <w:rPr>
          <w:rFonts w:hint="eastAsia" w:ascii="仿宋_GB2312" w:hAnsi="仿宋_GB2312" w:eastAsia="仿宋_GB2312" w:cs="仿宋_GB2312"/>
          <w:szCs w:val="32"/>
        </w:rPr>
        <w:t>按照“预防为主、防控结合”原则，有效防范、管理、处理各类环境风险。完善环境风险预警系统，提高环境风险预警分析水平。健全政府、企业环境应急体系，做好突发环境事件应急方案，完善环境风险防范和应急措施。突出重点，加强重点行业和重点企业环境风险全程监管，及时跟踪发现环境风险隐患。严格落实企业主体责任，增强企业环境风险防范意识，不断提高企业环境风险防控能力和应急处理能力。</w:t>
      </w:r>
      <w:bookmarkEnd w:id="617"/>
    </w:p>
    <w:p w14:paraId="4D385DA3">
      <w:pPr>
        <w:pStyle w:val="3"/>
        <w:spacing w:line="600" w:lineRule="exact"/>
        <w:rPr>
          <w:rFonts w:ascii="Times New Roman" w:hAnsi="Times New Roman" w:cs="Times New Roman"/>
          <w:bCs w:val="0"/>
          <w:szCs w:val="32"/>
          <w:shd w:val="clear" w:color="auto" w:fill="FFFFFF"/>
          <w:lang w:val="en-US"/>
        </w:rPr>
      </w:pPr>
      <w:bookmarkStart w:id="669" w:name="_Toc1584508681"/>
      <w:bookmarkStart w:id="670" w:name="_Toc9088"/>
      <w:bookmarkStart w:id="671" w:name="_Toc294052563"/>
      <w:bookmarkStart w:id="672" w:name="_Toc1255189535"/>
      <w:bookmarkStart w:id="673" w:name="_Toc58495667"/>
      <w:bookmarkStart w:id="674" w:name="_Toc19330"/>
      <w:bookmarkStart w:id="675" w:name="_Toc929520401_WPSOffice_Level1"/>
      <w:bookmarkStart w:id="676" w:name="_Toc1269962031"/>
      <w:bookmarkStart w:id="677" w:name="_Toc59098801"/>
      <w:r>
        <w:rPr>
          <w:rFonts w:ascii="Times New Roman" w:hAnsi="Times New Roman" w:cs="Times New Roman"/>
          <w:bCs w:val="0"/>
          <w:szCs w:val="32"/>
          <w:shd w:val="clear" w:color="auto" w:fill="FFFFFF"/>
          <w:lang w:val="en-US"/>
        </w:rPr>
        <w:t>第</w:t>
      </w:r>
      <w:r>
        <w:rPr>
          <w:rFonts w:hint="eastAsia" w:ascii="Times New Roman" w:hAnsi="Times New Roman" w:cs="Times New Roman"/>
          <w:bCs w:val="0"/>
          <w:szCs w:val="32"/>
          <w:shd w:val="clear" w:color="auto" w:fill="FFFFFF"/>
          <w:lang w:val="en-US"/>
        </w:rPr>
        <w:t>十</w:t>
      </w:r>
      <w:r>
        <w:rPr>
          <w:rFonts w:ascii="Times New Roman" w:hAnsi="Times New Roman" w:cs="Times New Roman"/>
          <w:bCs w:val="0"/>
          <w:szCs w:val="32"/>
          <w:shd w:val="clear" w:color="auto" w:fill="FFFFFF"/>
          <w:lang w:val="en-US"/>
        </w:rPr>
        <w:t>章提升社会事业水平，增强人民群众福祉</w:t>
      </w:r>
      <w:bookmarkEnd w:id="669"/>
      <w:bookmarkEnd w:id="670"/>
      <w:bookmarkEnd w:id="671"/>
      <w:bookmarkEnd w:id="672"/>
      <w:bookmarkEnd w:id="673"/>
      <w:bookmarkEnd w:id="674"/>
      <w:bookmarkEnd w:id="675"/>
      <w:bookmarkEnd w:id="676"/>
    </w:p>
    <w:p w14:paraId="63AAEC69">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坚持把实现好、维护好、发展好最广大人民根本利益作为发展的出发点和落脚点，尽力而为、量力而行，健全基本公共服务体系，促进人的全面发展和社会全面进步，不断增强人民群众获得感、幸福感、安全感，打造民生共建品质旗。</w:t>
      </w:r>
      <w:bookmarkStart w:id="678" w:name="_Toc2040178767"/>
      <w:bookmarkStart w:id="679" w:name="_Toc1821476937_WPSOffice_Level2"/>
      <w:bookmarkStart w:id="680" w:name="_Toc1736648590"/>
    </w:p>
    <w:p w14:paraId="3ED6B6A6">
      <w:pPr>
        <w:pStyle w:val="4"/>
        <w:spacing w:line="600" w:lineRule="exact"/>
        <w:rPr>
          <w:rFonts w:ascii="Times New Roman" w:hAnsi="Times New Roman" w:cs="Times New Roman"/>
          <w:lang w:val="en-US"/>
        </w:rPr>
      </w:pPr>
      <w:bookmarkStart w:id="681" w:name="_Toc15489"/>
      <w:bookmarkStart w:id="682" w:name="_Toc386"/>
      <w:bookmarkStart w:id="683" w:name="_Toc1238650264"/>
      <w:r>
        <w:rPr>
          <w:rFonts w:hint="eastAsia" w:ascii="楷体_GB2312" w:hAnsi="楷体_GB2312" w:eastAsia="楷体_GB2312" w:cs="楷体_GB2312"/>
          <w:lang w:val="en-US"/>
        </w:rPr>
        <w:t xml:space="preserve">第一节 </w:t>
      </w:r>
      <w:bookmarkEnd w:id="678"/>
      <w:bookmarkEnd w:id="679"/>
      <w:bookmarkEnd w:id="680"/>
      <w:r>
        <w:rPr>
          <w:rFonts w:hint="eastAsia" w:ascii="楷体_GB2312" w:hAnsi="楷体_GB2312" w:eastAsia="楷体_GB2312" w:cs="楷体_GB2312"/>
          <w:lang w:val="en-US"/>
        </w:rPr>
        <w:t>全力促进教育公平，建设高质量教育体系</w:t>
      </w:r>
      <w:bookmarkEnd w:id="681"/>
      <w:bookmarkEnd w:id="682"/>
      <w:bookmarkEnd w:id="683"/>
    </w:p>
    <w:p w14:paraId="22BBD9B8">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聚焦办好人民满意教育，加强普惠性、基础性、兜底性民生教育事业建设，重点推动义务教育城乡一体化、均衡化发展，鼓励高中阶段学校多样化发展，完善普惠性学前教育、特殊教育、专门教育保障机制，健全普惠托育服务体系，降低生育、养育、教育成本，不断增强人民群众获得感、幸福感。</w:t>
      </w:r>
    </w:p>
    <w:p w14:paraId="637638EC">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全面促进教育均衡发展</w:t>
      </w:r>
      <w:r>
        <w:rPr>
          <w:rFonts w:hint="eastAsia" w:ascii="楷体_GB2312" w:hAnsi="楷体_GB2312" w:eastAsia="楷体_GB2312" w:cs="楷体_GB2312"/>
          <w:b/>
          <w:bCs/>
        </w:rPr>
        <w:t>。</w:t>
      </w:r>
      <w:r>
        <w:rPr>
          <w:rFonts w:hint="eastAsia" w:ascii="仿宋_GB2312" w:hAnsi="仿宋_GB2312" w:eastAsia="仿宋_GB2312" w:cs="仿宋_GB2312"/>
          <w:szCs w:val="32"/>
        </w:rPr>
        <w:t>坚持优先发展教育事业，以教育现代化发展为目标，超前研判新型城镇化人口集聚规模，加大基础教育资源供给，科学筹划学校布局，全面落实学前和义务教育阶段学校建设需求，合理优化普通高中结构，积极扩大办学规模，加快缩小城乡间、学校间差距，努力满足日益增长的教育需求。到2025年，全旗新建、改扩建城乡幼儿园5所、中小学4所，义务教育阶段班容量达到国家标准水平。大力推进教育信息化，加强数字教学资源配置，建成达拉特智慧教育云平台，完成智慧教育大数据中心建设，提升“数字校园”创建水平，形成覆盖全旗中小学、幼儿园优质数字教育资源共建共享服务体系，教育标准化和均衡化发展基本实现，办学水平得到明显提升，成功创建“全国义务教育发展优质均衡县”。</w:t>
      </w:r>
    </w:p>
    <w:p w14:paraId="63BE8B53">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全面提升教育教学水平</w:t>
      </w:r>
      <w:r>
        <w:rPr>
          <w:rFonts w:hint="eastAsia" w:ascii="楷体_GB2312" w:hAnsi="楷体_GB2312" w:eastAsia="楷体_GB2312" w:cs="楷体_GB2312"/>
          <w:b/>
          <w:bCs/>
        </w:rPr>
        <w:t>。</w:t>
      </w:r>
      <w:r>
        <w:rPr>
          <w:rFonts w:hint="eastAsia" w:ascii="仿宋_GB2312" w:hAnsi="仿宋_GB2312" w:eastAsia="仿宋_GB2312" w:cs="仿宋_GB2312"/>
          <w:szCs w:val="32"/>
        </w:rPr>
        <w:t>坚持立德树人，不断充实教师队伍力量，加强新时代师德师风建设，强化教育骨干队伍，完善教师权益保障体系，激发教师教书育人的积极性、主动性和创造性，真正让教师成为令人羡慕的职业。</w:t>
      </w:r>
      <w:r>
        <w:rPr>
          <w:rFonts w:hint="eastAsia" w:ascii="仿宋_GB2312" w:hAnsi="仿宋_GB2312" w:eastAsia="仿宋_GB2312" w:cs="仿宋_GB2312"/>
          <w:szCs w:val="32"/>
          <w:lang w:val="en-US"/>
        </w:rPr>
        <w:t>持续推进“青年教师助力工程”，</w:t>
      </w:r>
      <w:r>
        <w:rPr>
          <w:rFonts w:hint="eastAsia" w:ascii="仿宋_GB2312" w:hAnsi="仿宋_GB2312" w:eastAsia="仿宋_GB2312" w:cs="仿宋_GB2312"/>
          <w:szCs w:val="32"/>
        </w:rPr>
        <w:t>完善师资培训制度</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通过国培、省培、信息技术应用及安全管理等多种培训，提高教师执教和信息化教育水平。建立健全教育人才引进机制，吸引高素质教师到我旗任教，提升教师队伍整体素质和能力。到2025年，全旗新招聘教师950名。着力推进“校园减负”行动，进一步</w:t>
      </w:r>
      <w:r>
        <w:rPr>
          <w:rFonts w:hint="eastAsia" w:ascii="仿宋_GB2312" w:hAnsi="仿宋_GB2312" w:eastAsia="仿宋_GB2312" w:cs="仿宋_GB2312"/>
          <w:szCs w:val="32"/>
          <w:lang w:val="en-US"/>
        </w:rPr>
        <w:t>维护教</w:t>
      </w:r>
      <w:r>
        <w:rPr>
          <w:rFonts w:hint="eastAsia" w:ascii="仿宋_GB2312" w:hAnsi="仿宋_GB2312" w:eastAsia="仿宋_GB2312" w:cs="仿宋_GB2312"/>
          <w:szCs w:val="32"/>
        </w:rPr>
        <w:t>育教学秩序，加强教育教学管理，规范教师教学行为，切实提升学校课堂教育质量，突出学校和课堂推进素质教育、助推学生成长成才主阵地的定位，切实提高学生在校学习质量。健全学校、家庭、社会协同育人机制，增强学生文明素养、社会责任意识、实践本领、创新精神、法治观念，重视青少年身体素质和心理健康教育，构建覆盖城乡的家庭教育指导服务体系，推动家长、家庭、家风教育健康发展。以创建平安校园为抓手，强化安全教育，重点加强安全每日提醒、预防溺水“六个一”等教育，定期组织广大师生开展防灾减灾、消防、应急等演练及综治、安全生产、法制安全等专项活动，不断提升安全教育水平。进一步加大教育改革力度，推动教育资源配置、教师队伍建设、学校管理机制等改革创新，规范民办教育发展，规范校外培训机构，让人民满意教育实现可持续发展。</w:t>
      </w:r>
    </w:p>
    <w:p w14:paraId="1A6B02B3">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全面提高教育育人质量</w:t>
      </w:r>
      <w:r>
        <w:rPr>
          <w:rFonts w:hint="eastAsia" w:ascii="楷体_GB2312" w:hAnsi="楷体_GB2312" w:eastAsia="楷体_GB2312" w:cs="楷体_GB2312"/>
          <w:b/>
          <w:bCs/>
        </w:rPr>
        <w:t>。</w:t>
      </w:r>
      <w:r>
        <w:rPr>
          <w:rFonts w:hint="eastAsia" w:ascii="仿宋_GB2312" w:hAnsi="仿宋_GB2312" w:eastAsia="仿宋_GB2312" w:cs="仿宋_GB2312"/>
          <w:szCs w:val="32"/>
        </w:rPr>
        <w:t>突出学前教育的公益性和普惠性，构建政府主导、社会参与、公民办并举的多元办园体制，着力加强农村幼儿园办园水平，推动全旗学前教育健康发展。到2025年，全旗民办幼儿园达到25所、农村幼儿园达到16所。坚守为党育人、为国育才的要求，开齐开足德智体美劳课程，把社会主义核心价值观融入思想道德、文化知识、社会实践教育各环节，推进义务教育阶段素质教育全面发展，建立全员、全程、全方位育人的义务教育体系。提升普通高中特色教育水平，深化教育、教研和教学改革，形成多样、灵活、开放的育人模式，不断提高学校的吸引力和竞争力，继续保持我旗基础教育在全市的领先优势。加强校园文化建设，广泛开展学习型学校、艺术校园、文明校园、法治校园、安全校园等创建活动，增强青少年素质和兴趣培养，创建自治区教育新品牌。</w:t>
      </w:r>
    </w:p>
    <w:p w14:paraId="3E0A700F">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szCs w:val="32"/>
        </w:rPr>
        <w:t>全面加强职业教育</w:t>
      </w:r>
      <w:r>
        <w:rPr>
          <w:rFonts w:hint="eastAsia" w:ascii="楷体_GB2312" w:hAnsi="仿宋_GB2312" w:eastAsia="楷体_GB2312" w:cs="仿宋_GB2312"/>
          <w:szCs w:val="32"/>
        </w:rPr>
        <w:t>。</w:t>
      </w:r>
      <w:r>
        <w:rPr>
          <w:rFonts w:hint="eastAsia" w:ascii="仿宋_GB2312" w:hAnsi="仿宋_GB2312" w:eastAsia="仿宋_GB2312" w:cs="仿宋_GB2312"/>
          <w:szCs w:val="32"/>
        </w:rPr>
        <w:t>改善中等职业学校基本办学条件</w:t>
      </w:r>
      <w:r>
        <w:rPr>
          <w:rFonts w:ascii="仿宋_GB2312" w:hAnsi="仿宋_GB2312" w:eastAsia="仿宋_GB2312" w:cs="仿宋_GB2312"/>
          <w:szCs w:val="32"/>
        </w:rPr>
        <w:t>，</w:t>
      </w:r>
      <w:r>
        <w:rPr>
          <w:rFonts w:hint="eastAsia" w:ascii="仿宋_GB2312" w:hAnsi="仿宋_GB2312" w:eastAsia="仿宋_GB2312" w:cs="仿宋_GB2312"/>
          <w:szCs w:val="32"/>
        </w:rPr>
        <w:t>推进职业教育校企合作、产教融合，增强职业技术教育适应性，建设自治区职业教育创新发展学校。</w:t>
      </w:r>
      <w:r>
        <w:rPr>
          <w:rFonts w:hint="eastAsia" w:ascii="仿宋_GB2312" w:hAnsi="仿宋_GB2312" w:eastAsia="仿宋_GB2312" w:cs="仿宋_GB2312"/>
          <w:szCs w:val="32"/>
          <w:lang w:val="en-US"/>
        </w:rPr>
        <w:t>充实职业教育教师队伍</w:t>
      </w:r>
      <w:r>
        <w:rPr>
          <w:rFonts w:ascii="仿宋_GB2312" w:hAnsi="仿宋_GB2312" w:eastAsia="仿宋_GB2312" w:cs="仿宋_GB2312"/>
          <w:szCs w:val="32"/>
        </w:rPr>
        <w:t>，</w:t>
      </w:r>
      <w:r>
        <w:rPr>
          <w:rFonts w:hint="eastAsia" w:ascii="仿宋_GB2312" w:hAnsi="仿宋_GB2312" w:eastAsia="仿宋_GB2312" w:cs="仿宋_GB2312"/>
          <w:szCs w:val="32"/>
          <w:lang w:val="en-US"/>
        </w:rPr>
        <w:t>鼓励</w:t>
      </w:r>
      <w:r>
        <w:rPr>
          <w:rFonts w:hint="eastAsia" w:ascii="仿宋_GB2312" w:hAnsi="仿宋_GB2312" w:eastAsia="仿宋_GB2312" w:cs="仿宋_GB2312"/>
          <w:szCs w:val="32"/>
        </w:rPr>
        <w:t>职业院校设立特设岗位，引进产业教师，面向社会和企业自主招聘在职或退休人员担任兼职教师</w:t>
      </w:r>
      <w:r>
        <w:rPr>
          <w:rFonts w:ascii="仿宋_GB2312" w:hAnsi="仿宋_GB2312" w:eastAsia="仿宋_GB2312" w:cs="仿宋_GB2312"/>
          <w:szCs w:val="32"/>
        </w:rPr>
        <w:t>，</w:t>
      </w:r>
      <w:r>
        <w:rPr>
          <w:rFonts w:hint="eastAsia" w:ascii="仿宋_GB2312" w:hAnsi="仿宋_GB2312" w:eastAsia="仿宋_GB2312" w:cs="仿宋_GB2312"/>
          <w:szCs w:val="32"/>
          <w:lang w:val="en-US"/>
        </w:rPr>
        <w:t>推动校企联合打造</w:t>
      </w:r>
      <w:r>
        <w:rPr>
          <w:rFonts w:hint="eastAsia" w:ascii="仿宋_GB2312" w:hAnsi="仿宋_GB2312" w:eastAsia="仿宋_GB2312" w:cs="仿宋_GB2312"/>
          <w:szCs w:val="32"/>
        </w:rPr>
        <w:t>“双师型”教师培训基地。完善招生机制，积极招收初高中毕业未升学学生、退役军人、退役运动员、下岗职工、返乡农民工等接受职业教育。提高职业教育发展水平</w:t>
      </w:r>
      <w:r>
        <w:rPr>
          <w:rFonts w:ascii="仿宋_GB2312" w:hAnsi="仿宋_GB2312" w:eastAsia="仿宋_GB2312" w:cs="仿宋_GB2312"/>
          <w:szCs w:val="32"/>
        </w:rPr>
        <w:t>，</w:t>
      </w:r>
      <w:r>
        <w:rPr>
          <w:rFonts w:hint="eastAsia" w:ascii="仿宋_GB2312" w:hAnsi="仿宋_GB2312" w:eastAsia="仿宋_GB2312" w:cs="仿宋_GB2312"/>
          <w:szCs w:val="32"/>
        </w:rPr>
        <w:t>培养</w:t>
      </w:r>
      <w:r>
        <w:rPr>
          <w:rFonts w:hint="eastAsia" w:ascii="仿宋_GB2312" w:hAnsi="仿宋_GB2312" w:eastAsia="仿宋_GB2312" w:cs="仿宋_GB2312"/>
          <w:szCs w:val="32"/>
          <w:lang w:val="en-US"/>
        </w:rPr>
        <w:t>精准服务</w:t>
      </w:r>
      <w:r>
        <w:rPr>
          <w:rFonts w:hint="eastAsia" w:ascii="仿宋_GB2312" w:hAnsi="仿宋_GB2312" w:eastAsia="仿宋_GB2312" w:cs="仿宋_GB2312"/>
          <w:szCs w:val="32"/>
        </w:rPr>
        <w:t>我</w:t>
      </w:r>
      <w:r>
        <w:rPr>
          <w:rFonts w:ascii="仿宋_GB2312" w:hAnsi="仿宋_GB2312" w:eastAsia="仿宋_GB2312" w:cs="仿宋_GB2312"/>
          <w:szCs w:val="32"/>
        </w:rPr>
        <w:t>旗</w:t>
      </w:r>
      <w:r>
        <w:rPr>
          <w:rFonts w:hint="eastAsia" w:ascii="仿宋_GB2312" w:hAnsi="仿宋_GB2312" w:eastAsia="仿宋_GB2312" w:cs="仿宋_GB2312"/>
          <w:szCs w:val="32"/>
          <w:lang w:val="en-US"/>
        </w:rPr>
        <w:t>发展需求</w:t>
      </w:r>
      <w:r>
        <w:rPr>
          <w:rFonts w:ascii="仿宋_GB2312" w:hAnsi="仿宋_GB2312" w:eastAsia="仿宋_GB2312" w:cs="仿宋_GB2312"/>
          <w:szCs w:val="32"/>
        </w:rPr>
        <w:t>，</w:t>
      </w:r>
      <w:r>
        <w:rPr>
          <w:rFonts w:hint="eastAsia" w:ascii="仿宋_GB2312" w:hAnsi="仿宋_GB2312" w:eastAsia="仿宋_GB2312" w:cs="仿宋_GB2312"/>
          <w:szCs w:val="32"/>
          <w:lang w:val="en-US"/>
        </w:rPr>
        <w:t>扎根本地、</w:t>
      </w:r>
      <w:r>
        <w:rPr>
          <w:rFonts w:hint="eastAsia" w:ascii="仿宋_GB2312" w:hAnsi="仿宋_GB2312" w:eastAsia="仿宋_GB2312" w:cs="仿宋_GB2312"/>
          <w:szCs w:val="32"/>
        </w:rPr>
        <w:t>服务</w:t>
      </w:r>
      <w:r>
        <w:rPr>
          <w:rFonts w:hint="eastAsia" w:ascii="仿宋_GB2312" w:hAnsi="仿宋_GB2312" w:eastAsia="仿宋_GB2312" w:cs="仿宋_GB2312"/>
          <w:szCs w:val="32"/>
          <w:lang w:val="en-US"/>
        </w:rPr>
        <w:t>我旗</w:t>
      </w:r>
      <w:r>
        <w:rPr>
          <w:rFonts w:hint="eastAsia" w:ascii="仿宋_GB2312" w:hAnsi="仿宋_GB2312" w:eastAsia="仿宋_GB2312" w:cs="仿宋_GB2312"/>
          <w:szCs w:val="32"/>
        </w:rPr>
        <w:t>发展的技术技能人才</w:t>
      </w:r>
      <w:r>
        <w:rPr>
          <w:rFonts w:ascii="仿宋_GB2312" w:hAnsi="仿宋_GB2312" w:eastAsia="仿宋_GB2312" w:cs="仿宋_GB2312"/>
          <w:szCs w:val="32"/>
        </w:rPr>
        <w:t>。</w:t>
      </w:r>
      <w:r>
        <w:rPr>
          <w:rFonts w:hint="eastAsia" w:ascii="仿宋_GB2312" w:hAnsi="仿宋_GB2312" w:eastAsia="仿宋_GB2312" w:cs="仿宋_GB2312"/>
          <w:szCs w:val="32"/>
        </w:rPr>
        <w:t>服务乡村振兴战略，大力培养以新型职业农民为主体的农村实用人才。积极开展校企联动，打造一批产教融合试点项目</w:t>
      </w:r>
      <w:r>
        <w:rPr>
          <w:rFonts w:ascii="仿宋_GB2312" w:hAnsi="仿宋_GB2312" w:eastAsia="仿宋_GB2312" w:cs="仿宋_GB2312"/>
          <w:szCs w:val="32"/>
        </w:rPr>
        <w:t>，</w:t>
      </w:r>
      <w:r>
        <w:rPr>
          <w:rFonts w:hint="eastAsia" w:ascii="仿宋_GB2312" w:hAnsi="仿宋_GB2312" w:eastAsia="仿宋_GB2312" w:cs="仿宋_GB2312"/>
          <w:szCs w:val="32"/>
          <w:lang w:val="en-US"/>
        </w:rPr>
        <w:t>积极推动</w:t>
      </w:r>
      <w:r>
        <w:rPr>
          <w:rFonts w:hint="eastAsia" w:ascii="仿宋_GB2312" w:hAnsi="仿宋_GB2312" w:eastAsia="仿宋_GB2312" w:cs="仿宋_GB2312"/>
          <w:szCs w:val="32"/>
        </w:rPr>
        <w:t>职业院校与大中型企业合作建设</w:t>
      </w:r>
      <w:r>
        <w:rPr>
          <w:rFonts w:hint="eastAsia" w:ascii="仿宋_GB2312" w:hAnsi="仿宋_GB2312" w:eastAsia="仿宋_GB2312" w:cs="仿宋_GB2312"/>
          <w:szCs w:val="32"/>
          <w:lang w:val="en-US"/>
        </w:rPr>
        <w:t>产学融合示范基地</w:t>
      </w:r>
      <w:r>
        <w:rPr>
          <w:rFonts w:ascii="仿宋_GB2312" w:hAnsi="仿宋_GB2312" w:eastAsia="仿宋_GB2312" w:cs="仿宋_GB2312"/>
          <w:szCs w:val="32"/>
        </w:rPr>
        <w:t>。</w:t>
      </w:r>
    </w:p>
    <w:p w14:paraId="4B0DC731">
      <w:pPr>
        <w:spacing w:line="600" w:lineRule="exact"/>
        <w:ind w:firstLine="643"/>
        <w:rPr>
          <w:rFonts w:ascii="仿宋_GB2312" w:hAnsi="仿宋_GB2312" w:eastAsia="仿宋_GB2312" w:cs="仿宋_GB2312"/>
          <w:szCs w:val="32"/>
        </w:rPr>
      </w:pPr>
      <w:r>
        <w:rPr>
          <w:rFonts w:hint="eastAsia" w:ascii="楷体_GB2312" w:hAnsi="仿宋_GB2312" w:eastAsia="楷体_GB2312" w:cs="仿宋_GB2312"/>
          <w:b/>
          <w:szCs w:val="32"/>
        </w:rPr>
        <w:t>大力发展特殊教育</w:t>
      </w:r>
      <w:r>
        <w:rPr>
          <w:rStyle w:val="34"/>
          <w:rFonts w:hint="eastAsia" w:ascii="楷体_GB2312" w:hAnsi="楷体_GB2312" w:eastAsia="楷体_GB2312" w:cs="楷体_GB2312"/>
          <w:szCs w:val="32"/>
          <w:lang w:val="en-US"/>
        </w:rPr>
        <w:t>。</w:t>
      </w:r>
      <w:r>
        <w:rPr>
          <w:rStyle w:val="34"/>
          <w:rFonts w:hint="eastAsia" w:ascii="仿宋_GB2312" w:hAnsi="楷体_GB2312" w:eastAsia="仿宋_GB2312" w:cs="楷体_GB2312"/>
          <w:szCs w:val="32"/>
          <w:lang w:val="en-US"/>
        </w:rPr>
        <w:t>建立健全</w:t>
      </w:r>
      <w:r>
        <w:rPr>
          <w:rFonts w:hint="eastAsia" w:ascii="仿宋_GB2312" w:hAnsi="仿宋_GB2312" w:eastAsia="仿宋_GB2312" w:cs="仿宋_GB2312"/>
          <w:szCs w:val="32"/>
        </w:rPr>
        <w:t>特</w:t>
      </w:r>
      <w:r>
        <w:rPr>
          <w:rFonts w:ascii="仿宋_GB2312" w:hAnsi="仿宋_GB2312" w:eastAsia="仿宋_GB2312" w:cs="仿宋_GB2312"/>
          <w:szCs w:val="32"/>
        </w:rPr>
        <w:t>殊教育支持保障体系，</w:t>
      </w:r>
      <w:r>
        <w:rPr>
          <w:rFonts w:hint="eastAsia" w:ascii="仿宋_GB2312" w:hAnsi="仿宋_GB2312" w:eastAsia="仿宋_GB2312" w:cs="仿宋_GB2312"/>
          <w:szCs w:val="32"/>
        </w:rPr>
        <w:t>完善随班就读与送教上门保障机制，保障残疾学生入学需求。</w:t>
      </w:r>
      <w:r>
        <w:rPr>
          <w:rFonts w:ascii="仿宋_GB2312" w:hAnsi="仿宋_GB2312" w:eastAsia="仿宋_GB2312" w:cs="仿宋_GB2312"/>
          <w:szCs w:val="32"/>
        </w:rPr>
        <w:t>加强政府与社会组织的交流合作，加强对特殊人士融合教育的宣传</w:t>
      </w:r>
      <w:r>
        <w:rPr>
          <w:rFonts w:hint="eastAsia" w:ascii="仿宋_GB2312" w:hAnsi="仿宋_GB2312" w:eastAsia="仿宋_GB2312" w:cs="仿宋_GB2312"/>
          <w:szCs w:val="32"/>
        </w:rPr>
        <w:t>。</w:t>
      </w:r>
      <w:r>
        <w:rPr>
          <w:rFonts w:ascii="仿宋_GB2312" w:hAnsi="仿宋_GB2312" w:eastAsia="仿宋_GB2312" w:cs="仿宋_GB2312"/>
          <w:szCs w:val="32"/>
        </w:rPr>
        <w:t>充分发挥特殊教育指导中心的作用，逐步实现特殊教育零拒绝与全覆盖，有效推动特殊教育的可持续发展。</w:t>
      </w:r>
      <w:r>
        <w:rPr>
          <w:rFonts w:hint="eastAsia" w:ascii="仿宋_GB2312" w:hAnsi="仿宋_GB2312" w:eastAsia="仿宋_GB2312" w:cs="仿宋_GB2312"/>
          <w:szCs w:val="32"/>
        </w:rPr>
        <w:t>健全教育保障机制，精准提升民族教师教学能力，</w:t>
      </w:r>
      <w:r>
        <w:rPr>
          <w:rFonts w:hint="eastAsia" w:ascii="仿宋_GB2312" w:hAnsi="仿宋_GB2312" w:eastAsia="仿宋_GB2312" w:cs="仿宋_GB2312"/>
          <w:szCs w:val="32"/>
          <w:shd w:val="clear" w:color="auto" w:fill="FFFFFF"/>
        </w:rPr>
        <w:t>开齐开好民族团结教育课，</w:t>
      </w:r>
      <w:r>
        <w:rPr>
          <w:rFonts w:hint="eastAsia" w:ascii="仿宋_GB2312" w:hAnsi="仿宋_GB2312" w:eastAsia="仿宋_GB2312" w:cs="仿宋_GB2312"/>
          <w:szCs w:val="32"/>
        </w:rPr>
        <w:t>全面推行国家</w:t>
      </w:r>
      <w:bookmarkStart w:id="748" w:name="_GoBack"/>
      <w:bookmarkEnd w:id="748"/>
      <w:r>
        <w:rPr>
          <w:rFonts w:hint="eastAsia" w:ascii="仿宋_GB2312" w:hAnsi="仿宋_GB2312" w:eastAsia="仿宋_GB2312" w:cs="仿宋_GB2312"/>
          <w:szCs w:val="32"/>
        </w:rPr>
        <w:t>统编教材和通用语言文字教育教学应用，推动教育高质量发展。</w:t>
      </w:r>
    </w:p>
    <w:p w14:paraId="49921DBE">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全面加强继续教育和网络教育</w:t>
      </w:r>
      <w:r>
        <w:rPr>
          <w:rFonts w:hint="eastAsia" w:ascii="楷体_GB2312" w:hAnsi="楷体_GB2312" w:eastAsia="楷体_GB2312" w:cs="楷体_GB2312"/>
          <w:b/>
          <w:bCs/>
        </w:rPr>
        <w:t>。</w:t>
      </w:r>
      <w:r>
        <w:rPr>
          <w:rFonts w:hint="eastAsia" w:ascii="仿宋_GB2312" w:hAnsi="仿宋_GB2312" w:eastAsia="仿宋_GB2312" w:cs="仿宋_GB2312"/>
          <w:szCs w:val="32"/>
        </w:rPr>
        <w:t>全面贯彻党的教育方针，坚定社会主义办学方向，全面加强党对教育工作的领导。</w:t>
      </w:r>
      <w:r>
        <w:rPr>
          <w:rFonts w:hint="eastAsia" w:ascii="仿宋_GB2312" w:hAnsi="仿宋_GB2312" w:eastAsia="仿宋_GB2312" w:cs="仿宋_GB2312"/>
          <w:spacing w:val="6"/>
          <w:szCs w:val="32"/>
          <w:shd w:val="clear" w:color="auto" w:fill="FFFFFF"/>
        </w:rPr>
        <w:t>大力推广普通话、推行规范汉字，</w:t>
      </w:r>
      <w:r>
        <w:rPr>
          <w:rFonts w:hint="eastAsia" w:ascii="仿宋_GB2312" w:hAnsi="仿宋_GB2312" w:eastAsia="仿宋_GB2312" w:cs="仿宋_GB2312"/>
          <w:szCs w:val="32"/>
        </w:rPr>
        <w:t>广泛开展“语言艺术节”等系列语言文化活动，推动地方语言文化资源保护与传承，提高社会语言文字应用水平。深化继续教育，推广技能培训，加强进城务工人员、退役军人、企业下岗人员等人群职业技能培训，培育高质量、高水平职业技能人才，提高就业群众上岗竞争力。到2025年，全旗完成职业技能培训1100人，实现城镇再就业16500人。高度重视农村教育，大力提高农牧民科技文化素质，培育壮大高素质农牧民队伍，推动乡村人才振兴。到2025年，培育高素质农牧民队伍达到1950人。大力营造全民终身学习环境，</w:t>
      </w:r>
      <w:r>
        <w:rPr>
          <w:rFonts w:hint="eastAsia" w:ascii="仿宋_GB2312" w:hAnsi="仿宋_GB2312" w:eastAsia="仿宋_GB2312" w:cs="仿宋_GB2312"/>
          <w:szCs w:val="32"/>
          <w:lang w:val="en-US"/>
        </w:rPr>
        <w:t>推动</w:t>
      </w:r>
      <w:r>
        <w:rPr>
          <w:rFonts w:hint="eastAsia" w:ascii="仿宋_GB2312" w:hAnsi="仿宋_GB2312" w:eastAsia="仿宋_GB2312" w:cs="仿宋_GB2312"/>
          <w:szCs w:val="32"/>
        </w:rPr>
        <w:t>网络学习平台</w:t>
      </w:r>
      <w:r>
        <w:rPr>
          <w:rFonts w:hint="eastAsia" w:ascii="仿宋_GB2312" w:hAnsi="仿宋_GB2312" w:eastAsia="仿宋_GB2312" w:cs="仿宋_GB2312"/>
          <w:szCs w:val="32"/>
          <w:lang w:val="en-US"/>
        </w:rPr>
        <w:t>建设</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rPr>
        <w:t>鼓励全旗各界用好网络学习平台</w:t>
      </w:r>
      <w:r>
        <w:rPr>
          <w:rFonts w:hint="eastAsia" w:ascii="仿宋_GB2312" w:hAnsi="仿宋_GB2312" w:eastAsia="仿宋_GB2312" w:cs="仿宋_GB2312"/>
          <w:szCs w:val="32"/>
        </w:rPr>
        <w:t>，提升全民</w:t>
      </w:r>
      <w:r>
        <w:rPr>
          <w:rFonts w:hint="eastAsia" w:ascii="仿宋_GB2312" w:hAnsi="仿宋_GB2312" w:eastAsia="仿宋_GB2312" w:cs="仿宋_GB2312"/>
          <w:szCs w:val="32"/>
          <w:lang w:val="en-US"/>
        </w:rPr>
        <w:t>网络学习</w:t>
      </w:r>
      <w:r>
        <w:rPr>
          <w:rFonts w:hint="eastAsia" w:ascii="仿宋_GB2312" w:hAnsi="仿宋_GB2312" w:eastAsia="仿宋_GB2312" w:cs="仿宋_GB2312"/>
          <w:szCs w:val="32"/>
        </w:rPr>
        <w:t>技能。总结应对新冠肺炎疫情以来大规模在线教育经验</w:t>
      </w:r>
      <w:r>
        <w:rPr>
          <w:rFonts w:hint="eastAsia" w:ascii="仿宋_GB2312" w:hAnsi="仿宋_GB2312" w:eastAsia="仿宋_GB2312" w:cs="仿宋_GB2312"/>
        </w:rPr>
        <w:t>，</w:t>
      </w:r>
      <w:r>
        <w:rPr>
          <w:rFonts w:hint="eastAsia" w:ascii="仿宋_GB2312" w:hAnsi="仿宋_GB2312" w:eastAsia="仿宋_GB2312" w:cs="仿宋_GB2312"/>
          <w:szCs w:val="32"/>
        </w:rPr>
        <w:t>注重发挥在线教育、网络教育和人工智能的优势，利用信息技术更新教育理念，变革教育模式，创新教育服务业态，革新教育治理方式，</w:t>
      </w:r>
      <w:bookmarkStart w:id="684" w:name="_Toc1402605753"/>
      <w:bookmarkStart w:id="685" w:name="_Toc1183492174_WPSOffice_Level2"/>
      <w:bookmarkStart w:id="686" w:name="_Toc413145320"/>
      <w:r>
        <w:rPr>
          <w:rFonts w:hint="eastAsia" w:ascii="仿宋_GB2312" w:hAnsi="仿宋_GB2312" w:eastAsia="仿宋_GB2312" w:cs="仿宋_GB2312"/>
          <w:szCs w:val="32"/>
        </w:rPr>
        <w:t>加快发展更加灵活的面向和适合个人的教育体系。</w:t>
      </w:r>
      <w:bookmarkEnd w:id="684"/>
      <w:bookmarkEnd w:id="685"/>
      <w:bookmarkEnd w:id="686"/>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109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64" w:type="dxa"/>
            <w:tcBorders>
              <w:bottom w:val="single" w:color="auto" w:sz="4" w:space="0"/>
            </w:tcBorders>
            <w:shd w:val="clear" w:color="auto" w:fill="FDE9D9" w:themeFill="accent6" w:themeFillTint="33"/>
          </w:tcPr>
          <w:p w14:paraId="23713546">
            <w:pPr>
              <w:pStyle w:val="22"/>
              <w:spacing w:line="240" w:lineRule="auto"/>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专栏14：教育惠民工程</w:t>
            </w:r>
          </w:p>
        </w:tc>
      </w:tr>
      <w:tr w14:paraId="6EFD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shd w:val="clear" w:color="auto" w:fill="D8D8D8" w:themeFill="background1" w:themeFillShade="D9"/>
          </w:tcPr>
          <w:p w14:paraId="1E6B08A2">
            <w:pPr>
              <w:pStyle w:val="22"/>
              <w:spacing w:line="360" w:lineRule="auto"/>
              <w:ind w:firstLine="360" w:firstLineChars="150"/>
              <w:rPr>
                <w:rFonts w:ascii="仿宋_GB2312" w:hAnsi="Times New Roman" w:eastAsia="仿宋_GB2312" w:cs="Times New Roman"/>
                <w:b w:val="0"/>
                <w:szCs w:val="24"/>
              </w:rPr>
            </w:pPr>
            <w:r>
              <w:rPr>
                <w:rFonts w:hint="eastAsia" w:ascii="仿宋_GB2312" w:hAnsi="Times New Roman" w:eastAsia="仿宋_GB2312" w:cs="Times New Roman"/>
                <w:b w:val="0"/>
                <w:szCs w:val="24"/>
              </w:rPr>
              <w:t>◆ 全国义务教育发展优质均衡旗</w:t>
            </w:r>
          </w:p>
          <w:p w14:paraId="193D296D">
            <w:pPr>
              <w:pStyle w:val="22"/>
              <w:spacing w:line="360" w:lineRule="auto"/>
              <w:ind w:firstLine="360" w:firstLineChars="150"/>
              <w:rPr>
                <w:rFonts w:ascii="仿宋_GB2312" w:hAnsi="Times New Roman" w:eastAsia="仿宋_GB2312" w:cs="Times New Roman"/>
                <w:b w:val="0"/>
                <w:szCs w:val="24"/>
                <w:lang w:val="en-US"/>
              </w:rPr>
            </w:pPr>
            <w:r>
              <w:rPr>
                <w:rFonts w:hint="eastAsia" w:ascii="仿宋_GB2312" w:hAnsi="Times New Roman" w:eastAsia="仿宋_GB2312" w:cs="Times New Roman"/>
                <w:b w:val="0"/>
                <w:szCs w:val="24"/>
              </w:rPr>
              <w:t xml:space="preserve">◆ </w:t>
            </w:r>
            <w:r>
              <w:rPr>
                <w:rFonts w:hint="eastAsia" w:ascii="仿宋_GB2312" w:hAnsi="Times New Roman" w:eastAsia="仿宋_GB2312" w:cs="Times New Roman"/>
                <w:b w:val="0"/>
                <w:szCs w:val="24"/>
                <w:lang w:val="en-US"/>
              </w:rPr>
              <w:t>青年教师助力工程</w:t>
            </w:r>
          </w:p>
          <w:p w14:paraId="4CBEBCFD">
            <w:pPr>
              <w:pStyle w:val="22"/>
              <w:spacing w:line="360" w:lineRule="auto"/>
              <w:ind w:firstLine="360" w:firstLineChars="150"/>
              <w:rPr>
                <w:rFonts w:ascii="仿宋_GB2312" w:hAnsi="Times New Roman" w:eastAsia="仿宋_GB2312" w:cs="Times New Roman"/>
                <w:b w:val="0"/>
                <w:szCs w:val="24"/>
              </w:rPr>
            </w:pPr>
            <w:r>
              <w:rPr>
                <w:rFonts w:hint="eastAsia" w:ascii="仿宋_GB2312" w:hAnsi="Times New Roman" w:eastAsia="仿宋_GB2312" w:cs="Times New Roman"/>
                <w:b w:val="0"/>
                <w:szCs w:val="24"/>
              </w:rPr>
              <w:t>◆ 校园减负行动</w:t>
            </w:r>
          </w:p>
          <w:p w14:paraId="1B501F38">
            <w:pPr>
              <w:pStyle w:val="22"/>
              <w:spacing w:line="360" w:lineRule="auto"/>
              <w:ind w:firstLine="360" w:firstLineChars="150"/>
              <w:rPr>
                <w:rFonts w:ascii="仿宋_GB2312" w:hAnsi="Times New Roman" w:eastAsia="仿宋_GB2312" w:cs="Times New Roman"/>
                <w:b w:val="0"/>
                <w:szCs w:val="24"/>
              </w:rPr>
            </w:pPr>
            <w:r>
              <w:rPr>
                <w:rFonts w:hint="eastAsia" w:ascii="仿宋_GB2312" w:hAnsi="Times New Roman" w:eastAsia="仿宋_GB2312" w:cs="Times New Roman"/>
                <w:b w:val="0"/>
                <w:szCs w:val="24"/>
              </w:rPr>
              <w:t>◆ 平安校园创建工程</w:t>
            </w:r>
          </w:p>
          <w:p w14:paraId="1823F087">
            <w:pPr>
              <w:pStyle w:val="22"/>
              <w:spacing w:line="360" w:lineRule="auto"/>
              <w:ind w:firstLine="360" w:firstLineChars="150"/>
              <w:rPr>
                <w:rFonts w:ascii="Times New Roman" w:hAnsi="Times New Roman" w:cs="Times New Roman"/>
              </w:rPr>
            </w:pPr>
            <w:r>
              <w:rPr>
                <w:rFonts w:hint="eastAsia" w:ascii="仿宋_GB2312" w:hAnsi="Times New Roman" w:eastAsia="仿宋_GB2312" w:cs="Times New Roman"/>
                <w:b w:val="0"/>
                <w:szCs w:val="24"/>
              </w:rPr>
              <w:t>◆ 全民终身学习工程</w:t>
            </w:r>
          </w:p>
        </w:tc>
      </w:tr>
    </w:tbl>
    <w:p w14:paraId="4DE0AB26">
      <w:pPr>
        <w:pStyle w:val="4"/>
        <w:spacing w:line="600" w:lineRule="exact"/>
        <w:rPr>
          <w:rFonts w:ascii="楷体_GB2312" w:hAnsi="楷体_GB2312" w:eastAsia="楷体_GB2312" w:cs="楷体_GB2312"/>
        </w:rPr>
      </w:pPr>
      <w:bookmarkStart w:id="687" w:name="_Toc11712"/>
      <w:bookmarkStart w:id="688" w:name="_Toc288513030"/>
      <w:bookmarkStart w:id="689" w:name="_Toc28316"/>
      <w:r>
        <w:rPr>
          <w:rFonts w:hint="eastAsia" w:ascii="楷体_GB2312" w:hAnsi="楷体_GB2312" w:eastAsia="楷体_GB2312" w:cs="楷体_GB2312"/>
        </w:rPr>
        <w:t>第二节 提升医疗服务水平，推进健康达拉特建设</w:t>
      </w:r>
      <w:bookmarkEnd w:id="687"/>
      <w:bookmarkEnd w:id="688"/>
      <w:bookmarkEnd w:id="689"/>
    </w:p>
    <w:p w14:paraId="5EBAC22D">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把保障人民健康放在优先发展的战略位置，深入实施健康达拉特行动。以促健康、转模式、强基层、重保障为着力点，推动全旗卫生健康公共资源向基层延伸、向农村覆盖、向生活困难群众倾斜，加快促进卫生健康基本公共服务均等化、普惠化、便捷化，筑牢全旗公共卫生防护网，为人民群众提供全方位、全周期健康服务。</w:t>
      </w:r>
    </w:p>
    <w:p w14:paraId="623698AD">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加强公共卫生服务保障</w:t>
      </w:r>
      <w:r>
        <w:rPr>
          <w:rFonts w:hint="eastAsia" w:ascii="楷体_GB2312" w:hAnsi="楷体_GB2312" w:eastAsia="楷体_GB2312" w:cs="楷体_GB2312"/>
          <w:b/>
          <w:bCs/>
        </w:rPr>
        <w:t>。</w:t>
      </w:r>
      <w:r>
        <w:rPr>
          <w:rFonts w:hint="eastAsia" w:ascii="仿宋_GB2312" w:hAnsi="仿宋_GB2312" w:eastAsia="仿宋_GB2312" w:cs="仿宋_GB2312"/>
          <w:szCs w:val="32"/>
        </w:rPr>
        <w:t>大力推进公共卫生基础设施建设，确保旗妇幼保健院大楼、旗人民医院综合病房大楼、中蒙医医院老年病楼及康复理疗中心建成投用，积极筹建集公共卫生指挥调度、信息整合、培训演练、物资保障功能于一体的公共卫生综合保障指挥中心，加快推进旗级应急物资储备库建设。全面加强医疗机构信息化建设，深入推进“互联网+医疗健康”深度融合，推进5G、物联网、人工智能等新技术在健康医疗领域应用。深化医疗、医保、医药、医院“四医联动”，推动基本医保、大病保险、医疗救助、商业健康保险、社会慈善等有效衔接，构建多层次医疗卫生保障</w:t>
      </w:r>
      <w:r>
        <w:rPr>
          <w:rFonts w:hint="eastAsia" w:ascii="仿宋_GB2312" w:hAnsi="仿宋_GB2312" w:eastAsia="仿宋_GB2312" w:cs="仿宋_GB2312"/>
          <w:szCs w:val="32"/>
          <w:lang w:val="en-US"/>
        </w:rPr>
        <w:t>网络</w:t>
      </w:r>
      <w:r>
        <w:rPr>
          <w:rFonts w:hint="eastAsia" w:ascii="仿宋_GB2312" w:hAnsi="仿宋_GB2312" w:eastAsia="仿宋_GB2312" w:cs="仿宋_GB2312"/>
        </w:rPr>
        <w:t>。</w:t>
      </w:r>
      <w:r>
        <w:rPr>
          <w:rFonts w:hint="eastAsia" w:ascii="仿宋_GB2312" w:hAnsi="仿宋_GB2312" w:eastAsia="仿宋_GB2312" w:cs="仿宋_GB2312"/>
          <w:szCs w:val="32"/>
        </w:rPr>
        <w:t>提升医保服务水平，健全医疗救助保障机制，做好跨省异地就医住院费用直接结算工作，建设覆盖全面、优质便捷的公共医保服务体系。深化药品全流程改革，巩固完善基本药物制度，完善药品集中采购政策措施，加强医疗健康托底保障，建立规范有序的药品供应保障制度，有效解决低价药、救命药保障问题，让群众充分分享医药制度改革红利。</w:t>
      </w:r>
      <w:r>
        <w:rPr>
          <w:rFonts w:hint="eastAsia" w:ascii="仿宋_GB2312" w:hAnsi="仿宋_GB2312" w:eastAsia="仿宋_GB2312" w:cs="仿宋_GB2312"/>
          <w:szCs w:val="32"/>
          <w:lang w:val="en-US"/>
        </w:rPr>
        <w:t>总结</w:t>
      </w:r>
      <w:r>
        <w:rPr>
          <w:rFonts w:hint="eastAsia" w:ascii="仿宋_GB2312" w:hAnsi="仿宋_GB2312" w:eastAsia="仿宋_GB2312" w:cs="仿宋_GB2312"/>
          <w:szCs w:val="32"/>
        </w:rPr>
        <w:t>新冠肺炎疫情防控经验，</w:t>
      </w:r>
      <w:r>
        <w:rPr>
          <w:rFonts w:hint="eastAsia" w:ascii="仿宋_GB2312" w:hAnsi="仿宋_GB2312" w:eastAsia="仿宋_GB2312" w:cs="仿宋_GB2312"/>
          <w:szCs w:val="32"/>
          <w:lang w:val="en-US"/>
        </w:rPr>
        <w:t>突出</w:t>
      </w:r>
      <w:r>
        <w:rPr>
          <w:rFonts w:hint="eastAsia" w:ascii="仿宋_GB2312" w:hAnsi="仿宋_GB2312" w:eastAsia="仿宋_GB2312" w:cs="仿宋_GB2312"/>
          <w:szCs w:val="32"/>
        </w:rPr>
        <w:t>精准有效预防</w:t>
      </w:r>
      <w:r>
        <w:rPr>
          <w:rFonts w:hint="eastAsia" w:ascii="仿宋_GB2312" w:hAnsi="仿宋_GB2312" w:eastAsia="仿宋_GB2312" w:cs="仿宋_GB2312"/>
        </w:rPr>
        <w:t>，</w:t>
      </w:r>
      <w:r>
        <w:rPr>
          <w:rFonts w:hint="eastAsia" w:ascii="仿宋_GB2312" w:hAnsi="仿宋_GB2312" w:eastAsia="仿宋_GB2312" w:cs="仿宋_GB2312"/>
          <w:szCs w:val="32"/>
        </w:rPr>
        <w:t>强化旗疾控中心、旗后备医疗救治场所（体育馆）功能，补齐耳字壕、敖包梁、青达门等基层医疗卫生薄弱地区疾病预防控制体系和公共卫生服务体系短板，织密公共卫生“防护网”，形成以旗疾控中心为核心、公立医院为枢纽、乡镇卫生院（社区卫生服务中心）为网底、全社会协同的疾病预防控制网络，增强疾病预防</w:t>
      </w:r>
      <w:r>
        <w:rPr>
          <w:rFonts w:hint="eastAsia" w:ascii="仿宋_GB2312" w:hAnsi="仿宋_GB2312" w:eastAsia="仿宋_GB2312" w:cs="仿宋_GB2312"/>
          <w:szCs w:val="32"/>
          <w:lang w:val="en-US"/>
        </w:rPr>
        <w:t>体系的</w:t>
      </w:r>
      <w:r>
        <w:rPr>
          <w:rFonts w:hint="eastAsia" w:ascii="仿宋_GB2312" w:hAnsi="仿宋_GB2312" w:eastAsia="仿宋_GB2312" w:cs="仿宋_GB2312"/>
          <w:szCs w:val="32"/>
        </w:rPr>
        <w:t>监测预警、风险评估、流行病学调查、检验检测、应急处置</w:t>
      </w:r>
      <w:r>
        <w:rPr>
          <w:rFonts w:hint="eastAsia" w:ascii="仿宋_GB2312" w:hAnsi="仿宋_GB2312" w:eastAsia="仿宋_GB2312" w:cs="仿宋_GB2312"/>
          <w:szCs w:val="32"/>
          <w:lang w:val="en-US"/>
        </w:rPr>
        <w:t>能力</w:t>
      </w:r>
      <w:r>
        <w:rPr>
          <w:rFonts w:hint="eastAsia" w:ascii="仿宋_GB2312" w:hAnsi="仿宋_GB2312" w:eastAsia="仿宋_GB2312" w:cs="仿宋_GB2312"/>
          <w:szCs w:val="32"/>
        </w:rPr>
        <w:t>，为维护人民群众生命健康提供有力保障。到2025年，全旗每千人口卫生机构床位数保持在6张以内、每千人口执业医师达到3.6人。</w:t>
      </w:r>
    </w:p>
    <w:p w14:paraId="26A11572">
      <w:pPr>
        <w:spacing w:line="600" w:lineRule="exact"/>
        <w:ind w:firstLine="643"/>
        <w:rPr>
          <w:rFonts w:ascii="仿宋_GB2312" w:hAnsi="仿宋_GB2312" w:eastAsia="仿宋_GB2312" w:cs="仿宋_GB2312"/>
          <w:highlight w:val="red"/>
          <w:lang w:val="en-US"/>
        </w:rPr>
      </w:pPr>
      <w:r>
        <w:rPr>
          <w:rStyle w:val="34"/>
          <w:rFonts w:hint="eastAsia" w:ascii="楷体_GB2312" w:hAnsi="楷体_GB2312" w:eastAsia="楷体_GB2312" w:cs="楷体_GB2312"/>
        </w:rPr>
        <w:t>提升公共卫生服务质量</w:t>
      </w:r>
      <w:r>
        <w:rPr>
          <w:rFonts w:hint="eastAsia" w:ascii="楷体_GB2312" w:hAnsi="楷体_GB2312" w:eastAsia="楷体_GB2312" w:cs="楷体_GB2312"/>
          <w:b/>
          <w:bCs/>
        </w:rPr>
        <w:t>。</w:t>
      </w:r>
      <w:r>
        <w:rPr>
          <w:rFonts w:hint="eastAsia" w:ascii="仿宋_GB2312" w:hAnsi="仿宋_GB2312" w:eastAsia="仿宋_GB2312" w:cs="仿宋_GB2312"/>
          <w:szCs w:val="32"/>
        </w:rPr>
        <w:t>坚持基本医疗卫生事业公益属性，加快优质医疗资源扩容和区域均衡布局。着力提高公立医院医疗服务技能，持续加强卒中、急救、胸痛中心建设，大力提升儿童、母婴危重救治、康复等医疗服务能力水平，推动公立医院学科建设、设备配置、人才培养、医院合作等方面跃上新台阶。加大政策扶持，完善基层医疗卫生服务体系，在人才培养、资金保障、建设用地、设备添制、药物配送等方面为基层卫生院提供全方位支持。持续深化医疗卫生体制改革，构建更加成熟定型的分级诊疗制度，推进区域医联体、医共体建设，推广现代医院管理制度试点经验，加快旗级医院优质人才和技术流动、下沉，鼓励优质医疗人才巡回坐诊。大力推动中蒙医药传承创新发展，实施中蒙医药临床优势能力培育工程，加快中蒙医重点专科建设和中蒙医药适用技术研发应用，推广中蒙医药特色康复服务，做强国医（药）馆、名中医诊所等中医药发展平台。加快引进社会资本，加大对民营医院建设扶持力度，积极支持民营医院发展壮大。加强公共卫生人才队伍建设和综合激励政策保障，大力培养培训全科、卫生应急、精神卫生、心理健康、卫生管理、儿科医生等急需紧缺专门人才，开展“基层卫生院优秀骨干医师”选拔培养，提高医护人员医德素质和业务能力，优化基层医生队伍人才结构，鼓励和支持广大医务人员开展科技创新，大力营造全社会尊医重卫良好氛围。</w:t>
      </w:r>
      <w:r>
        <w:rPr>
          <w:rFonts w:hint="eastAsia" w:ascii="仿宋_GB2312" w:hAnsi="仿宋_GB2312" w:eastAsia="仿宋_GB2312" w:cs="仿宋_GB2312"/>
        </w:rPr>
        <w:t>到</w:t>
      </w:r>
      <w:r>
        <w:rPr>
          <w:rFonts w:hint="eastAsia" w:ascii="仿宋_GB2312" w:hAnsi="仿宋_GB2312" w:eastAsia="仿宋_GB2312" w:cs="仿宋_GB2312"/>
          <w:lang w:val="en-US"/>
        </w:rPr>
        <w:t>2025年，基层医疗机构与旗级医疗机构建立医共体实现全覆盖，建成专科联盟3个、市级以上重点学科9个、中蒙医医馆29个，重点人群签约率达到70%，城乡居民电子健康档案建档率达到90%以上。</w:t>
      </w:r>
    </w:p>
    <w:p w14:paraId="477AC436">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加强公共卫生应急体系建设</w:t>
      </w:r>
      <w:r>
        <w:rPr>
          <w:rFonts w:hint="eastAsia" w:ascii="楷体_GB2312" w:hAnsi="楷体_GB2312" w:eastAsia="楷体_GB2312" w:cs="楷体_GB2312"/>
          <w:b/>
          <w:bCs/>
        </w:rPr>
        <w:t>。</w:t>
      </w:r>
      <w:r>
        <w:rPr>
          <w:rFonts w:hint="eastAsia" w:ascii="仿宋_GB2312" w:hAnsi="仿宋_GB2312" w:eastAsia="仿宋_GB2312" w:cs="仿宋_GB2312"/>
          <w:szCs w:val="32"/>
        </w:rPr>
        <w:t>整合全旗卫生资源，加快建立覆盖城乡、功能完善、反应敏捷、运转协调的公共卫生应急综合救治网络，形成上下联动、医防协同的应急医疗救助机制，提高医疗救治、科技支撑、物资保障水平，完善院前急救系统，增强</w:t>
      </w:r>
      <w:r>
        <w:rPr>
          <w:rFonts w:hint="eastAsia" w:ascii="仿宋_GB2312" w:hAnsi="仿宋_GB2312" w:eastAsia="仿宋_GB2312" w:cs="仿宋_GB2312"/>
          <w:szCs w:val="32"/>
          <w:lang w:val="en-US"/>
        </w:rPr>
        <w:t>120急救和</w:t>
      </w:r>
      <w:r>
        <w:rPr>
          <w:rFonts w:hint="eastAsia" w:ascii="仿宋_GB2312" w:hAnsi="仿宋_GB2312" w:eastAsia="仿宋_GB2312" w:cs="仿宋_GB2312"/>
          <w:szCs w:val="32"/>
        </w:rPr>
        <w:t>重症医疗救治能力</w:t>
      </w:r>
      <w:r>
        <w:rPr>
          <w:rFonts w:hint="eastAsia" w:ascii="仿宋_GB2312" w:hAnsi="仿宋_GB2312" w:eastAsia="仿宋_GB2312" w:cs="仿宋_GB2312"/>
          <w:szCs w:val="32"/>
          <w:lang w:val="en-US"/>
        </w:rPr>
        <w:t>，</w:t>
      </w:r>
      <w:r>
        <w:rPr>
          <w:rFonts w:hint="eastAsia" w:ascii="仿宋_GB2312" w:hAnsi="仿宋_GB2312" w:eastAsia="仿宋_GB2312" w:cs="仿宋_GB2312"/>
          <w:szCs w:val="32"/>
        </w:rPr>
        <w:t>推进院前、院内服务一体化，最大限度保护人民群众生命健康安全。树立防范化解重大风险的底线思维，提升重大疫情动员能力，建立定期研究部署重大疫情防控、公共卫生事件交流合作、传染病疫情和公共卫生事件通报等卫生健康工作机制，健全集中统一、权威高效的指挥体系，坚持以体系和核心能力建设为主体、以突发急性传染病防治和突发事件紧急医学救援力量建设为两翼的“一体两翼”卫生应急发展思路，强化突发公共卫生事件监测预警、应急响应、联防联控、群防群控能力建设，全面提升公共卫生应急处置水平。广泛开展爱国卫生运动，大力加强公共卫生健康知识科普教育，推进健康乡镇（街道）、健康村（社区）、健康小区、健康单位建设，</w:t>
      </w:r>
      <w:r>
        <w:rPr>
          <w:rFonts w:hint="eastAsia" w:ascii="仿宋_GB2312" w:hAnsi="仿宋_GB2312" w:eastAsia="仿宋_GB2312" w:cs="仿宋_GB2312"/>
          <w:szCs w:val="32"/>
          <w:lang w:val="en-US"/>
        </w:rPr>
        <w:t>创建国家</w:t>
      </w:r>
      <w:r>
        <w:rPr>
          <w:rFonts w:hint="eastAsia" w:ascii="仿宋_GB2312" w:hAnsi="仿宋_GB2312" w:eastAsia="仿宋_GB2312" w:cs="仿宋_GB2312"/>
          <w:szCs w:val="32"/>
        </w:rPr>
        <w:t>健康促进旗。推动食品药品安全质量全系统联动、全品种覆盖、全链条追溯，加强重点专项实验室和专业技术人员队伍建设，完善农村饮水监测，确保人民群众“舌尖上的安全”。广泛开展全民健身运动，引导群众养成健康文明的生活习惯，常态化提高人民群众健康水平。</w:t>
      </w:r>
    </w:p>
    <w:p w14:paraId="45A8E3C6">
      <w:pPr>
        <w:pStyle w:val="4"/>
        <w:spacing w:line="600" w:lineRule="exact"/>
        <w:rPr>
          <w:rFonts w:ascii="Times New Roman" w:hAnsi="Times New Roman" w:cs="Times New Roman"/>
        </w:rPr>
      </w:pPr>
      <w:bookmarkStart w:id="690" w:name="_Toc9067"/>
      <w:bookmarkStart w:id="691" w:name="_Toc10867"/>
      <w:bookmarkStart w:id="692" w:name="_Toc20420284"/>
      <w:r>
        <w:rPr>
          <w:rFonts w:hint="eastAsia" w:ascii="楷体_GB2312" w:hAnsi="楷体_GB2312" w:eastAsia="楷体_GB2312" w:cs="楷体_GB2312"/>
        </w:rPr>
        <w:t>第三节 增强人民幸福指数，建设多层次社保体系</w:t>
      </w:r>
      <w:bookmarkEnd w:id="690"/>
      <w:bookmarkEnd w:id="691"/>
      <w:bookmarkEnd w:id="692"/>
    </w:p>
    <w:p w14:paraId="7E847FDD">
      <w:pPr>
        <w:spacing w:line="60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以增进人民福祉为出发点和落脚点，按照兜底线、织密网、建机制的要求，加快基本公共服务均等化、标准化建设，扩大优质公共服务资源覆盖面，全面建成覆盖城乡、普惠可及、保障公平、可持续的多层次社会保障体系。</w:t>
      </w:r>
    </w:p>
    <w:p w14:paraId="06E9239D">
      <w:pPr>
        <w:spacing w:line="600" w:lineRule="exact"/>
        <w:ind w:firstLine="643"/>
        <w:rPr>
          <w:rFonts w:ascii="仿宋_GB2312" w:hAnsi="仿宋_GB2312" w:eastAsia="仿宋_GB2312" w:cs="仿宋_GB2312"/>
          <w:szCs w:val="32"/>
        </w:rPr>
      </w:pPr>
      <w:r>
        <w:rPr>
          <w:rFonts w:ascii="Times New Roman" w:hAnsi="Times New Roman" w:eastAsia="楷体_GB2312" w:cs="Times New Roman"/>
          <w:b/>
          <w:szCs w:val="32"/>
        </w:rPr>
        <w:t>大力实施就业促进工程。</w:t>
      </w:r>
      <w:r>
        <w:rPr>
          <w:rFonts w:hint="eastAsia" w:ascii="仿宋_GB2312" w:hAnsi="仿宋_GB2312" w:eastAsia="仿宋_GB2312" w:cs="仿宋_GB2312"/>
          <w:szCs w:val="32"/>
        </w:rPr>
        <w:t>坚持把促进就业放在经济社会发展的优先位置，多渠道开发就业岗位。</w:t>
      </w:r>
      <w:r>
        <w:rPr>
          <w:rFonts w:hint="eastAsia" w:ascii="仿宋_GB2312" w:hAnsi="仿宋_GB2312" w:eastAsia="仿宋_GB2312" w:cs="仿宋_GB2312"/>
          <w:szCs w:val="32"/>
          <w:lang w:val="en-US"/>
        </w:rPr>
        <w:t>全面落实阶段性降低失业保险、失业保险稳岗返还、吸纳就业补贴等扶持政策，</w:t>
      </w:r>
      <w:r>
        <w:rPr>
          <w:rFonts w:hint="eastAsia" w:ascii="仿宋_GB2312" w:hAnsi="仿宋_GB2312" w:eastAsia="仿宋_GB2312" w:cs="仿宋_GB2312"/>
          <w:szCs w:val="32"/>
        </w:rPr>
        <w:t>推动落实财政、税收等多方面惠企措施，加大中小微企业补贴力度，拓宽企业融资通道，切实减轻企业经营负担，提升经营状况，</w:t>
      </w:r>
      <w:r>
        <w:rPr>
          <w:rFonts w:hint="eastAsia" w:ascii="仿宋_GB2312" w:hAnsi="仿宋_GB2312" w:eastAsia="仿宋_GB2312" w:cs="仿宋_GB2312"/>
          <w:bCs/>
          <w:szCs w:val="32"/>
        </w:rPr>
        <w:t>增强企业创造和稳定就业岗位能力，</w:t>
      </w:r>
      <w:r>
        <w:rPr>
          <w:rFonts w:hint="eastAsia" w:ascii="仿宋_GB2312" w:hAnsi="仿宋_GB2312" w:eastAsia="仿宋_GB2312" w:cs="仿宋_GB2312"/>
          <w:szCs w:val="32"/>
        </w:rPr>
        <w:t>稳定全旗就业基本面</w:t>
      </w:r>
      <w:r>
        <w:rPr>
          <w:rFonts w:hint="eastAsia" w:ascii="仿宋_GB2312" w:hAnsi="仿宋_GB2312" w:eastAsia="仿宋_GB2312" w:cs="仿宋_GB2312"/>
          <w:bCs/>
          <w:szCs w:val="32"/>
        </w:rPr>
        <w:t>。围绕呼包鄂乌协同发展，大力推进重大项目建设，引导企业</w:t>
      </w:r>
      <w:r>
        <w:rPr>
          <w:rFonts w:hint="eastAsia" w:ascii="仿宋_GB2312" w:hAnsi="仿宋_GB2312" w:eastAsia="仿宋_GB2312" w:cs="仿宋_GB2312"/>
          <w:szCs w:val="32"/>
        </w:rPr>
        <w:t>精准规划用人需求，打造和挖掘新的就业增长点，扩大就业容量，提升就业质量。加强高校及职业院校毕业生就业保障，积极推动企业参与学校双选会，为应届毕业学生</w:t>
      </w:r>
      <w:r>
        <w:rPr>
          <w:rFonts w:hint="eastAsia" w:ascii="仿宋_GB2312" w:hAnsi="仿宋_GB2312" w:eastAsia="仿宋_GB2312" w:cs="仿宋_GB2312"/>
          <w:szCs w:val="32"/>
          <w:lang w:val="en-US"/>
        </w:rPr>
        <w:t>提供</w:t>
      </w:r>
      <w:r>
        <w:rPr>
          <w:rFonts w:hint="eastAsia" w:ascii="仿宋_GB2312" w:hAnsi="仿宋_GB2312" w:eastAsia="仿宋_GB2312" w:cs="仿宋_GB2312"/>
          <w:szCs w:val="32"/>
        </w:rPr>
        <w:t>就业岗位。加强农民工和退伍军人就业保障，鼓励农民工及退伍军人就业创业，扩大就业面。扩大公益性岗位安置，统筹做好残疾人、零就业家庭、就业困难人员及失业人员等重点人群就业援助，解决困难群众就业问题。</w:t>
      </w:r>
      <w:r>
        <w:rPr>
          <w:rFonts w:hint="eastAsia" w:ascii="仿宋_GB2312" w:hAnsi="仿宋_GB2312" w:eastAsia="仿宋_GB2312" w:cs="仿宋_GB2312"/>
          <w:bCs/>
          <w:szCs w:val="32"/>
        </w:rPr>
        <w:t>提升“双创”带动就业水平，</w:t>
      </w:r>
      <w:r>
        <w:rPr>
          <w:rFonts w:hint="eastAsia" w:ascii="仿宋_GB2312" w:hAnsi="仿宋_GB2312" w:eastAsia="仿宋_GB2312" w:cs="仿宋_GB2312"/>
          <w:szCs w:val="32"/>
        </w:rPr>
        <w:t>优化营商环境，完善创新创业政策和配套措施，降低创业门槛和成本，加大各类创业补贴力度，增强创业者创业信心。鼓励多渠道灵活就业，保障个体工商户发展，鼓励银行开展针对个体工商户的经营性低息贷款业务，扩大贷款对象范围、降低贷款申请门槛，推动全旗个体工商业经济稳定发展。</w:t>
      </w:r>
      <w:r>
        <w:rPr>
          <w:rFonts w:hint="eastAsia" w:ascii="仿宋_GB2312" w:hAnsi="仿宋_GB2312" w:eastAsia="仿宋_GB2312" w:cs="仿宋_GB2312"/>
          <w:bCs/>
          <w:szCs w:val="32"/>
        </w:rPr>
        <w:t>强化劳动者素质提升，</w:t>
      </w:r>
      <w:r>
        <w:rPr>
          <w:rFonts w:hint="eastAsia" w:ascii="仿宋_GB2312" w:hAnsi="仿宋_GB2312" w:eastAsia="仿宋_GB2312" w:cs="仿宋_GB2312"/>
          <w:szCs w:val="32"/>
        </w:rPr>
        <w:t>建立适应劳动力市场变化的职业技能培训体系，落实职业培训补贴政策，面向失业人员、转岗职工、退伍军人等群体，加大职业教育、在职培训和技能培训力度，提升公共就业服务能力。提升企业的员工培育意识，引导企业和教育培训机构开展职业技能培训，增加企业员工的职业技能储备。到2025年，全旗完成各类职业技能培训1100人以上，个体工商户达到3312户，新增就业1.7万人，城镇登记失业率控制在</w:t>
      </w:r>
      <w:r>
        <w:rPr>
          <w:rFonts w:hint="eastAsia" w:ascii="仿宋_GB2312" w:hAnsi="仿宋_GB2312" w:eastAsia="仿宋_GB2312" w:cs="仿宋_GB2312"/>
          <w:szCs w:val="32"/>
          <w:lang w:val="en-US"/>
        </w:rPr>
        <w:t>4.5</w:t>
      </w:r>
      <w:r>
        <w:rPr>
          <w:rFonts w:hint="eastAsia" w:ascii="仿宋_GB2312" w:hAnsi="仿宋_GB2312" w:eastAsia="仿宋_GB2312" w:cs="仿宋_GB2312"/>
          <w:szCs w:val="32"/>
        </w:rPr>
        <w:t>%以内。</w:t>
      </w:r>
    </w:p>
    <w:p w14:paraId="41B56708">
      <w:pPr>
        <w:spacing w:line="600" w:lineRule="exact"/>
        <w:ind w:firstLine="643"/>
        <w:rPr>
          <w:rFonts w:ascii="仿宋_GB2312" w:hAnsi="仿宋_GB2312" w:eastAsia="仿宋_GB2312" w:cs="仿宋_GB2312"/>
          <w:szCs w:val="32"/>
        </w:rPr>
      </w:pPr>
      <w:r>
        <w:rPr>
          <w:rFonts w:ascii="Times New Roman" w:hAnsi="Times New Roman" w:eastAsia="楷体_GB2312"/>
          <w:b/>
          <w:bCs/>
          <w:szCs w:val="32"/>
        </w:rPr>
        <w:t>织密扎牢社会兜底保障网。</w:t>
      </w:r>
      <w:r>
        <w:rPr>
          <w:rFonts w:hint="eastAsia" w:ascii="仿宋_GB2312" w:hAnsi="仿宋_GB2312" w:eastAsia="仿宋_GB2312" w:cs="仿宋_GB2312"/>
          <w:szCs w:val="32"/>
        </w:rPr>
        <w:t>巩固拓展脱贫攻坚成果，</w:t>
      </w:r>
      <w:r>
        <w:rPr>
          <w:rFonts w:hint="eastAsia" w:ascii="仿宋_GB2312" w:eastAsia="仿宋_GB2312" w:cs="仿宋_GB2312"/>
          <w:szCs w:val="32"/>
        </w:rPr>
        <w:t>坚持工作不留空档、政策不留空白，严格落实“四个不摘”要求,保持5年过渡期帮扶政策、资金支持、帮扶力量总体稳定，实现脱贫攻坚与乡村振兴有效协接。建立农村低收入人口帮扶和防止返贫动态监测帮扶机制，巩固旗镇村三级防贫济贫长效机制，对易返贫致贫人口实施常态化监测，接续推进脱贫人口发展。全面推行防贫保险和建立防贫保障基金，筑牢防贫“堤坝”，有效防止因大病、自然灾害等造成的致贫返贫问题。加强扶贫项目资金管理和监督，深化产业扶贫、就业扶贫和异地扶贫搬迁后续扶持。加强对搬迁脱贫人口产业支持、就业帮扶，完善集中安置区配套设施和公共服务，加强社区治理和社会融入，确保搬迁群众稳得住、有就业、逐步能致富，切实增强和巩固脱贫成果及内生发展能力。</w:t>
      </w:r>
      <w:r>
        <w:rPr>
          <w:rFonts w:hint="eastAsia" w:ascii="仿宋_GB2312" w:hAnsi="仿宋_GB2312" w:eastAsia="仿宋_GB2312" w:cs="仿宋_GB2312"/>
          <w:szCs w:val="32"/>
        </w:rPr>
        <w:t>全面实施全民参保计划，推进机关事业单位养老保险制度改革和职工基础养老金全国统筹，完善职工、居民养老保险个人账户制度，加强预防、补偿、康复相结合的工伤保险制度体系建设，加快发展职业年金、企业年金，持续扩大中小微企业和广大农民工、灵活就业人员、新形态就业人员、未参保居民等群体参保范围，实施建筑业按项目参保计划。完善统一的城乡居民基本医疗保险制度和大病保险制度，鼓励发展补充医疗保险、商业健康保险，减轻长期失能人员家庭经济负担，努力满足人民群众多样化医疗保障需求。推进社保转移接续，健全基本养老、基本医疗保险筹资和待遇调整机制，完善失业保险费率调整和失业保险金标准调整机制。到2025年，全旗基本养老保险参保人数达到23.8万人、失业保险参保人数达到3.5万人、工伤保险参保人数达到3.1万人。加强基本民生兜底保障，持续完善与我旗社会发展水平相适应的社会救助体系，精准匹配救助措施，切实保障困难群众的基本生活权益，促进经济社会稳定和协调发展。加强扶残助残服务体系建设，推动和规范慈善事业发展，完善优待、抚恤、安置等基本制度，推进殡葬事业改革，全面夯实社会保障基础。到2025年，农村低保标准达到819元/月/人，城镇低保标准达到1156元/月/人；农村特困人员生活供养标准达到1244元/年/人，城镇特困人员生活供养标准达到2196元/年/人。坚持“房子是用来住的，不是用来炒的”定位，加快建立多主体供给、多渠道保障、租购并举的住房制度，让全体人民住有所居。到2025年，建成保障性住房4665套，惠及群众1.6万人。</w:t>
      </w:r>
    </w:p>
    <w:p w14:paraId="39BD5579">
      <w:pPr>
        <w:spacing w:line="600" w:lineRule="exact"/>
        <w:ind w:firstLine="643"/>
        <w:rPr>
          <w:rFonts w:ascii="Times New Roman" w:hAnsi="Times New Roman" w:eastAsia="仿宋_GB2312" w:cs="Times New Roman"/>
          <w:szCs w:val="32"/>
        </w:rPr>
      </w:pPr>
      <w:r>
        <w:rPr>
          <w:rFonts w:ascii="Times New Roman" w:hAnsi="Times New Roman" w:eastAsia="楷体_GB2312" w:cs="Times New Roman"/>
          <w:b/>
          <w:szCs w:val="32"/>
        </w:rPr>
        <w:t>积极应对人口老龄化。</w:t>
      </w:r>
      <w:r>
        <w:rPr>
          <w:rFonts w:hint="eastAsia" w:ascii="仿宋_GB2312" w:hAnsi="仿宋_GB2312" w:eastAsia="仿宋_GB2312" w:cs="仿宋_GB2312"/>
          <w:szCs w:val="32"/>
          <w:lang w:val="en-US"/>
        </w:rPr>
        <w:t>持续开展</w:t>
      </w:r>
      <w:r>
        <w:rPr>
          <w:rFonts w:hint="eastAsia" w:ascii="仿宋_GB2312" w:hAnsi="仿宋_GB2312" w:eastAsia="仿宋_GB2312" w:cs="仿宋_GB2312"/>
          <w:szCs w:val="32"/>
        </w:rPr>
        <w:t>人口监测工作，做好人口形势分析，</w:t>
      </w:r>
      <w:r>
        <w:rPr>
          <w:rFonts w:hint="eastAsia" w:ascii="仿宋_GB2312" w:hAnsi="仿宋_GB2312" w:eastAsia="仿宋_GB2312" w:cs="仿宋_GB2312"/>
          <w:szCs w:val="32"/>
          <w:lang w:val="en-US"/>
        </w:rPr>
        <w:t>为科学决策提供可靠的人口依据。</w:t>
      </w:r>
      <w:r>
        <w:rPr>
          <w:rFonts w:hint="eastAsia" w:ascii="仿宋_GB2312" w:hAnsi="仿宋_GB2312" w:eastAsia="仿宋_GB2312" w:cs="仿宋_GB2312"/>
          <w:szCs w:val="32"/>
        </w:rPr>
        <w:t>大力实施“新家庭计划”，</w:t>
      </w:r>
      <w:r>
        <w:rPr>
          <w:rFonts w:hint="eastAsia" w:ascii="仿宋_GB2312" w:hAnsi="仿宋_GB2312" w:eastAsia="仿宋_GB2312" w:cs="仿宋_GB2312"/>
          <w:szCs w:val="32"/>
          <w:shd w:val="clear" w:color="auto" w:fill="FFFFFF"/>
        </w:rPr>
        <w:t>提高家庭健康水平和家庭发展能力。</w:t>
      </w:r>
      <w:r>
        <w:rPr>
          <w:rFonts w:hint="eastAsia" w:ascii="仿宋_GB2312" w:hAnsi="仿宋_GB2312" w:eastAsia="仿宋_GB2312" w:cs="仿宋_GB2312"/>
          <w:szCs w:val="32"/>
        </w:rPr>
        <w:t>完善旗、镇（街道）、村（居委会）三级人口计生公共服务网络，提升健康教育、优生咨询、高危人群指导、孕前筛查、营养素补充等服务水平，提高出生人口素质。鼓励和支持民间资本参与养老产业发展，</w:t>
      </w:r>
      <w:r>
        <w:rPr>
          <w:rFonts w:hint="eastAsia" w:ascii="仿宋_GB2312" w:hAnsi="仿宋_GB2312" w:eastAsia="仿宋_GB2312" w:cs="仿宋_GB2312"/>
          <w:szCs w:val="32"/>
          <w:lang w:val="en-US"/>
        </w:rPr>
        <w:t>推动集养老、康复、老年大学等功能为一体的全旗康养中心项目建设，加快完善</w:t>
      </w:r>
      <w:r>
        <w:rPr>
          <w:rFonts w:hint="eastAsia" w:ascii="仿宋_GB2312" w:hAnsi="仿宋_GB2312" w:eastAsia="仿宋_GB2312" w:cs="仿宋_GB2312"/>
          <w:szCs w:val="32"/>
        </w:rPr>
        <w:t>综合福利中心、社区居家养老服务中心、农村老年人互助照料中心等养老体系，夯实养老服务基础设施，增强养老服务供给能力。推动二级以上综合性医院老年病科建设，深化医养结合签约合作体制，全面推进居家、社区、机构多层次多元化养老服务扩能提质增效。探索建设乡镇卫生院与敬老院合作机制，构建医疗、康复、护理、安宁疗护等相衔接的覆盖全生命周期的医疗服务体系。实施“互联网+养老”工程，建设智慧养老服务信息平台，构建集居家养老服务、机构养老监管量持蓝视频可视化监控、养老政策发布等综合性监管平台。加大对老年空巢家庭的帮扶支持力度。继续实施城企联动普惠养老专项行动，提高养老服务普惠化水平。到2025年，每千名老年人机构养老床位达到40张。</w:t>
      </w:r>
    </w:p>
    <w:p w14:paraId="6551DDBE">
      <w:pPr>
        <w:spacing w:line="600" w:lineRule="exact"/>
        <w:ind w:firstLine="643"/>
        <w:rPr>
          <w:rFonts w:ascii="Times New Roman" w:hAnsi="Times New Roman" w:eastAsia="仿宋_GB2312" w:cs="Times New Roman"/>
          <w:szCs w:val="32"/>
          <w:lang w:val="en-US"/>
        </w:rPr>
      </w:pPr>
      <w:r>
        <w:rPr>
          <w:rFonts w:ascii="Times New Roman" w:hAnsi="Times New Roman" w:eastAsia="楷体_GB2312" w:cs="Times New Roman"/>
          <w:b/>
          <w:szCs w:val="32"/>
        </w:rPr>
        <w:t>全面加强妇幼保健工作。</w:t>
      </w:r>
      <w:r>
        <w:rPr>
          <w:rFonts w:hint="eastAsia" w:ascii="仿宋_GB2312" w:hAnsi="仿宋_GB2312" w:eastAsia="仿宋_GB2312" w:cs="仿宋_GB2312"/>
          <w:szCs w:val="32"/>
        </w:rPr>
        <w:t>健全完善妇幼健康服务体系，构建覆盖城乡，涵盖婚前、孕前、孕期、新生儿和儿童各阶段的出生缺陷综合防治体系，持续实施母婴安全行动，进一步提升</w:t>
      </w:r>
      <w:r>
        <w:rPr>
          <w:rFonts w:hint="eastAsia" w:ascii="仿宋_GB2312" w:hAnsi="仿宋_GB2312" w:eastAsia="仿宋_GB2312" w:cs="仿宋_GB2312"/>
          <w:szCs w:val="32"/>
          <w:lang w:val="en-US"/>
        </w:rPr>
        <w:t>妇幼保健</w:t>
      </w:r>
      <w:r>
        <w:rPr>
          <w:rFonts w:hint="eastAsia" w:ascii="仿宋_GB2312" w:hAnsi="仿宋_GB2312" w:eastAsia="仿宋_GB2312" w:cs="仿宋_GB2312"/>
          <w:szCs w:val="32"/>
        </w:rPr>
        <w:t>服务能力，</w:t>
      </w:r>
      <w:r>
        <w:rPr>
          <w:rFonts w:hint="eastAsia" w:ascii="仿宋_GB2312" w:hAnsi="仿宋_GB2312" w:eastAsia="仿宋_GB2312" w:cs="仿宋_GB2312"/>
          <w:szCs w:val="32"/>
          <w:lang w:val="en-US"/>
        </w:rPr>
        <w:t>创建</w:t>
      </w:r>
      <w:r>
        <w:rPr>
          <w:rFonts w:hint="eastAsia" w:ascii="仿宋_GB2312" w:hAnsi="仿宋_GB2312" w:eastAsia="仿宋_GB2312" w:cs="仿宋_GB2312"/>
          <w:szCs w:val="32"/>
        </w:rPr>
        <w:t>国家妇幼保健机构机制创新工作试点旗。切实落实性别平等基本国策，深入开展关爱女孩行动，创造有利于女孩成长和妇女发展的社会环境，保障妇女平等就业机会和政治权利，依法打击侵害妇女合法权益的行为。实施儿童发展纲要，促进0-3岁儿童早期综合发展，注重儿童道德行为规范教育、心理素质和良好性格的培养塑造。发展儿童福利事业，</w:t>
      </w:r>
      <w:r>
        <w:rPr>
          <w:rFonts w:hint="eastAsia" w:ascii="仿宋_GB2312" w:hAnsi="仿宋_GB2312" w:eastAsia="仿宋_GB2312" w:cs="仿宋_GB2312"/>
          <w:szCs w:val="32"/>
          <w:lang w:val="en-US"/>
        </w:rPr>
        <w:t>加强留守儿童和困境儿童关爱保护，推进儿童主任、儿童督导员“全面覆盖”和“素质提升”工程，切实做好儿童生活兜底和监护兜底保障。</w:t>
      </w:r>
      <w:r>
        <w:rPr>
          <w:rFonts w:hint="eastAsia" w:ascii="仿宋_GB2312" w:hAnsi="仿宋_GB2312" w:eastAsia="仿宋_GB2312" w:cs="仿宋_GB2312"/>
          <w:szCs w:val="32"/>
        </w:rPr>
        <w:t>规范家庭寄养模式，严厉打击拐卖儿童、弃婴等违法犯罪行为。</w:t>
      </w:r>
    </w:p>
    <w:p w14:paraId="6410BBE3">
      <w:pPr>
        <w:pStyle w:val="4"/>
        <w:spacing w:line="600" w:lineRule="exact"/>
        <w:rPr>
          <w:rFonts w:ascii="楷体_GB2312" w:hAnsi="楷体_GB2312" w:eastAsia="楷体_GB2312" w:cs="楷体_GB2312"/>
        </w:rPr>
      </w:pPr>
      <w:bookmarkStart w:id="693" w:name="_Toc21591"/>
      <w:bookmarkStart w:id="694" w:name="_Toc29557"/>
      <w:bookmarkStart w:id="695" w:name="_Toc1753813315"/>
      <w:r>
        <w:rPr>
          <w:rFonts w:hint="eastAsia" w:ascii="楷体_GB2312" w:hAnsi="楷体_GB2312" w:eastAsia="楷体_GB2312" w:cs="楷体_GB2312"/>
        </w:rPr>
        <w:t>第四节 繁荣文化体育事业，增强达拉特人文魅力</w:t>
      </w:r>
      <w:bookmarkEnd w:id="693"/>
      <w:bookmarkEnd w:id="694"/>
      <w:bookmarkEnd w:id="695"/>
    </w:p>
    <w:p w14:paraId="390ADAB1">
      <w:pPr>
        <w:spacing w:line="60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坚持以社会主义核心价值观引领文化建设，围绕举旗帜、聚民心、育新人、兴文化、展形象的使命任务，聚焦不同层次群众需求，加大创新力度、完善服务手段，有效提高公共文化服务供给水平，让公共文化服务品质更加符合群众期待，打造文化强旗。</w:t>
      </w:r>
    </w:p>
    <w:p w14:paraId="5DB94A32">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倡导社会文明风尚。</w:t>
      </w:r>
      <w:r>
        <w:rPr>
          <w:rFonts w:hint="eastAsia" w:ascii="仿宋_GB2312" w:hAnsi="仿宋_GB2312" w:eastAsia="仿宋_GB2312" w:cs="仿宋_GB2312"/>
          <w:szCs w:val="32"/>
        </w:rPr>
        <w:t>持续深化新时代社会主义精神文明建设，加强理想信念和中国梦教育，推动习近平新时代中国特色社会主义思想深入人心。推进社会公德、职业道德、家庭美德和个人品德建设，实施精神文明创建工程，深化“爱我达拉特”的共同情怀，推动“蒙古马精神”落地生根，巩固全旗人民团结奋斗的共同思想基础。健全志愿服务体系，广泛开展志愿服务关爱行动。弘扬诚信文化，推进社会信用体系建设。提倡艰苦奋斗、勤俭节约，开展以“劳动创造幸福”为主题的宣传教育。加强家庭、家教、家风建设，发展积极健康的网络文化。</w:t>
      </w:r>
    </w:p>
    <w:p w14:paraId="40EE4AB2">
      <w:pPr>
        <w:spacing w:line="600" w:lineRule="exact"/>
        <w:ind w:firstLine="643"/>
        <w:rPr>
          <w:rFonts w:ascii="仿宋_GB2312" w:hAnsi="仿宋_GB2312" w:eastAsia="仿宋_GB2312" w:cs="仿宋_GB2312"/>
          <w:lang w:val="en-US"/>
        </w:rPr>
      </w:pPr>
      <w:r>
        <w:rPr>
          <w:rStyle w:val="34"/>
          <w:rFonts w:hint="eastAsia" w:ascii="楷体_GB2312" w:hAnsi="楷体_GB2312" w:eastAsia="楷体_GB2312" w:cs="楷体_GB2312"/>
        </w:rPr>
        <w:t>繁荣文化艺术创作</w:t>
      </w:r>
      <w:r>
        <w:rPr>
          <w:rFonts w:hint="eastAsia" w:ascii="楷体_GB2312" w:hAnsi="楷体_GB2312" w:eastAsia="楷体_GB2312" w:cs="楷体_GB2312"/>
          <w:b/>
          <w:bCs/>
        </w:rPr>
        <w:t>。</w:t>
      </w:r>
      <w:r>
        <w:rPr>
          <w:rFonts w:hint="eastAsia" w:ascii="仿宋_GB2312" w:hAnsi="仿宋_GB2312" w:eastAsia="仿宋_GB2312" w:cs="仿宋_GB2312"/>
          <w:szCs w:val="32"/>
          <w:lang w:val="en-US"/>
        </w:rPr>
        <w:t>围绕群众文化生活需求，</w:t>
      </w:r>
      <w:r>
        <w:rPr>
          <w:rFonts w:hint="eastAsia" w:ascii="仿宋_GB2312" w:hAnsi="仿宋_GB2312" w:eastAsia="仿宋_GB2312" w:cs="仿宋_GB2312"/>
          <w:szCs w:val="32"/>
        </w:rPr>
        <w:t>实施文艺作品质量提升工程，</w:t>
      </w:r>
      <w:r>
        <w:rPr>
          <w:rFonts w:hint="eastAsia" w:ascii="仿宋_GB2312" w:hAnsi="仿宋_GB2312" w:eastAsia="仿宋_GB2312" w:cs="仿宋_GB2312"/>
          <w:szCs w:val="32"/>
          <w:lang w:val="en-US"/>
        </w:rPr>
        <w:t>以黄河农耕文化为基础、蒙汉融合为特色，</w:t>
      </w:r>
      <w:r>
        <w:rPr>
          <w:rFonts w:hint="eastAsia" w:ascii="仿宋_GB2312" w:hAnsi="仿宋_GB2312" w:eastAsia="仿宋_GB2312" w:cs="仿宋_GB2312"/>
          <w:szCs w:val="32"/>
        </w:rPr>
        <w:t>加强现实题材创作生产，</w:t>
      </w:r>
      <w:r>
        <w:rPr>
          <w:rFonts w:hint="eastAsia" w:ascii="仿宋_GB2312" w:hAnsi="仿宋_GB2312" w:eastAsia="仿宋_GB2312" w:cs="仿宋_GB2312"/>
          <w:szCs w:val="32"/>
          <w:lang w:val="en-US"/>
        </w:rPr>
        <w:t>推进地方戏、现代小戏小品、二人台、漫瀚调剧发展，提高文艺原创能力。大力弘扬乌兰牧骑精神，提升乌兰牧骑八项职能服务水平，推动“网上乌兰牧骑”发展，加强乌兰牧骑品牌建设。激发群众文艺创作，大力培养本土人民作家和艺术家，提升《乡土风》栏目水平，支持音乐剧《送亲歌》等舞台剧创作，推动城乡文化繁荣发展。到2025年，全旗原创文艺作品达到120件以上，创作精品舞台剧2件以上。</w:t>
      </w:r>
    </w:p>
    <w:p w14:paraId="10D1697A">
      <w:pPr>
        <w:spacing w:line="600" w:lineRule="exact"/>
        <w:ind w:firstLine="643"/>
        <w:rPr>
          <w:rFonts w:ascii="Times New Roman" w:hAnsi="Times New Roman" w:eastAsia="仿宋_GB2312" w:cs="Times New Roman"/>
          <w:szCs w:val="32"/>
          <w:lang w:val="en-US"/>
        </w:rPr>
      </w:pPr>
      <w:r>
        <w:rPr>
          <w:rStyle w:val="34"/>
          <w:rFonts w:hint="eastAsia" w:ascii="楷体_GB2312" w:hAnsi="楷体_GB2312" w:eastAsia="楷体_GB2312" w:cs="楷体_GB2312"/>
          <w:lang w:val="en-US"/>
        </w:rPr>
        <w:t>提升公共文化服务能力</w:t>
      </w:r>
      <w:r>
        <w:rPr>
          <w:rFonts w:hint="eastAsia" w:ascii="楷体_GB2312" w:hAnsi="楷体_GB2312" w:eastAsia="楷体_GB2312" w:cs="楷体_GB2312"/>
          <w:b/>
          <w:bCs/>
          <w:lang w:val="en-US"/>
        </w:rPr>
        <w:t>。</w:t>
      </w:r>
      <w:r>
        <w:rPr>
          <w:rFonts w:hint="eastAsia" w:ascii="仿宋_GB2312" w:hAnsi="仿宋_GB2312" w:eastAsia="仿宋_GB2312" w:cs="仿宋_GB2312"/>
          <w:szCs w:val="32"/>
          <w:lang w:val="en-US"/>
        </w:rPr>
        <w:t>加快图书馆、博物馆布展进度，推进文化馆、图书馆总分馆制和数字文化总分馆建设，新建集文化馆、乌兰牧骑宫、非遗中心、影剧院为一体的市民综合文化活动中心，加快完善旗级大型公共文化设施，按照“5+3”模式推动镇、村公共文化服务向村民聚集区（社区）延伸，形成</w:t>
      </w:r>
      <w:r>
        <w:rPr>
          <w:rFonts w:hint="eastAsia" w:ascii="仿宋_GB2312" w:hAnsi="仿宋_GB2312" w:eastAsia="仿宋_GB2312" w:cs="仿宋_GB2312"/>
          <w:szCs w:val="32"/>
        </w:rPr>
        <w:t>以旗级文化设施为核心、</w:t>
      </w:r>
      <w:r>
        <w:rPr>
          <w:rFonts w:hint="eastAsia" w:ascii="仿宋_GB2312" w:hAnsi="仿宋_GB2312" w:eastAsia="仿宋_GB2312" w:cs="仿宋_GB2312"/>
          <w:szCs w:val="32"/>
          <w:lang w:val="en-US"/>
        </w:rPr>
        <w:t>中心镇文化设施为纽带、村（社区）文化网络设施为补充的</w:t>
      </w:r>
      <w:r>
        <w:rPr>
          <w:rFonts w:hint="eastAsia" w:ascii="仿宋_GB2312" w:hAnsi="仿宋_GB2312" w:eastAsia="仿宋_GB2312" w:cs="仿宋_GB2312"/>
          <w:szCs w:val="32"/>
        </w:rPr>
        <w:t>城乡一体化</w:t>
      </w:r>
      <w:r>
        <w:rPr>
          <w:rFonts w:hint="eastAsia" w:ascii="仿宋_GB2312" w:hAnsi="仿宋_GB2312" w:eastAsia="仿宋_GB2312" w:cs="仿宋_GB2312"/>
          <w:szCs w:val="32"/>
          <w:lang w:val="en-US"/>
        </w:rPr>
        <w:t>现代公共文化服务体系。</w:t>
      </w:r>
      <w:r>
        <w:rPr>
          <w:rFonts w:hint="eastAsia" w:ascii="仿宋_GB2312" w:hAnsi="仿宋_GB2312" w:eastAsia="仿宋_GB2312" w:cs="仿宋_GB2312"/>
          <w:szCs w:val="32"/>
        </w:rPr>
        <w:t>实施全媒体传播工程，</w:t>
      </w:r>
      <w:r>
        <w:rPr>
          <w:rFonts w:hint="eastAsia" w:ascii="仿宋_GB2312" w:hAnsi="仿宋_GB2312" w:eastAsia="仿宋_GB2312" w:cs="仿宋_GB2312"/>
          <w:szCs w:val="32"/>
          <w:lang w:val="en-US"/>
        </w:rPr>
        <w:t>推进融媒体中心建设，</w:t>
      </w:r>
      <w:r>
        <w:rPr>
          <w:rFonts w:hint="eastAsia" w:ascii="仿宋_GB2312" w:hAnsi="仿宋_GB2312" w:eastAsia="仿宋_GB2312" w:cs="仿宋_GB2312"/>
          <w:szCs w:val="32"/>
        </w:rPr>
        <w:t>做强新型主流媒体。</w:t>
      </w:r>
      <w:r>
        <w:rPr>
          <w:rFonts w:hint="eastAsia" w:ascii="仿宋_GB2312" w:hAnsi="仿宋_GB2312" w:eastAsia="仿宋_GB2312" w:cs="仿宋_GB2312"/>
          <w:szCs w:val="32"/>
          <w:lang w:val="en-US"/>
        </w:rPr>
        <w:t>大力实施文化惠民工程，深入开展城乡联动、居民广泛参与的文化、旅游、节庆文化活动，加大“送文化”和“种文化”力度，推动公共文化数字化建设，积极开展云演艺、云直播、云展览等创新服务，推动全民艺术普及。推进旗-镇（街道）-村（社区）三级公共文化设施向社会公众免费开放，健全政府购买公共文化服务机制，深化书香达拉特建设，倡导全民阅读。引导和鼓励社会力量参与文化建设，健全文化志愿服务机制，大力发展文化志愿者队伍，充分激发群众文化活动热情，活跃城乡文化氛围。到2025年，培育和发展文化户（文化大院）110户、业余文艺队160支，开展基层文化演出160场/次。</w:t>
      </w:r>
    </w:p>
    <w:p w14:paraId="3AA1D349">
      <w:pPr>
        <w:spacing w:line="600" w:lineRule="exact"/>
        <w:ind w:firstLine="643"/>
        <w:rPr>
          <w:rFonts w:ascii="仿宋_GB2312" w:hAnsi="仿宋_GB2312" w:eastAsia="仿宋_GB2312" w:cs="仿宋_GB2312"/>
          <w:szCs w:val="32"/>
          <w:lang w:val="en-US"/>
        </w:rPr>
      </w:pPr>
      <w:r>
        <w:rPr>
          <w:rStyle w:val="34"/>
          <w:rFonts w:hint="eastAsia" w:ascii="楷体_GB2312" w:hAnsi="楷体_GB2312" w:eastAsia="楷体_GB2312" w:cs="楷体_GB2312"/>
          <w:lang w:val="en-US"/>
        </w:rPr>
        <w:t>加强文物遗产保护</w:t>
      </w:r>
      <w:r>
        <w:rPr>
          <w:rFonts w:hint="eastAsia" w:ascii="楷体_GB2312" w:hAnsi="楷体_GB2312" w:eastAsia="楷体_GB2312" w:cs="楷体_GB2312"/>
          <w:b/>
          <w:bCs/>
          <w:lang w:val="en-US"/>
        </w:rPr>
        <w:t>。</w:t>
      </w:r>
      <w:r>
        <w:rPr>
          <w:rFonts w:hint="eastAsia" w:ascii="仿宋_GB2312" w:hAnsi="仿宋_GB2312" w:eastAsia="仿宋_GB2312" w:cs="仿宋_GB2312"/>
          <w:szCs w:val="32"/>
          <w:lang w:val="en-US"/>
        </w:rPr>
        <w:t>持续加强文物遗产保护，开展秦汉长城、秦直道、</w:t>
      </w:r>
      <w:r>
        <w:rPr>
          <w:rFonts w:hint="eastAsia" w:ascii="仿宋_GB2312" w:hAnsi="仿宋_GB2312" w:eastAsia="仿宋_GB2312" w:cs="仿宋_GB2312"/>
          <w:szCs w:val="32"/>
        </w:rPr>
        <w:t>汉墓群遗址等自治区</w:t>
      </w:r>
      <w:r>
        <w:rPr>
          <w:rFonts w:hint="eastAsia" w:ascii="仿宋_GB2312" w:hAnsi="仿宋_GB2312" w:eastAsia="仿宋_GB2312" w:cs="仿宋_GB2312"/>
          <w:szCs w:val="32"/>
          <w:lang w:val="en-US"/>
        </w:rPr>
        <w:t>级以上文物保护单位规划编制和保护工程。深入开展全旗文物普查，健全全旗文物资源名录，推进文物资源分级管理和遴选、推荐申报，加强旗级以上重点文物保护单位“四有”建设。依托黄河文化资源公共数据平台，建立重点文物资源资产动态管理机制，常态化开展文物资源信息登记和文物资源资产保存状况评估。推动文物保护规划与国土空间规划有效衔接，全面推行基本建设项目文物区域评估制度、地方政府土地储备考古前置制度。</w:t>
      </w:r>
      <w:r>
        <w:rPr>
          <w:rFonts w:hint="eastAsia" w:ascii="仿宋_GB2312" w:hAnsi="仿宋_GB2312" w:eastAsia="仿宋_GB2312" w:cs="仿宋_GB2312"/>
          <w:szCs w:val="32"/>
        </w:rPr>
        <w:t>加强文物古籍保护、研究、利用，</w:t>
      </w:r>
      <w:r>
        <w:rPr>
          <w:rFonts w:hint="eastAsia" w:ascii="仿宋_GB2312" w:hAnsi="仿宋_GB2312" w:eastAsia="仿宋_GB2312" w:cs="仿宋_GB2312"/>
          <w:szCs w:val="32"/>
          <w:lang w:val="en-US"/>
        </w:rPr>
        <w:t>加大非物质文化遗产发掘、整理、抢救力度，积极开展非遗进课堂、进校园、进景区，推动非遗与旅游活化、旅游体验深度融合，拓宽非遗产品销售渠道，壮大非遗传承队伍，增强非遗内生发展动力。</w:t>
      </w:r>
      <w:bookmarkStart w:id="696" w:name="_Toc954991827_WPSOffice_Level2"/>
      <w:bookmarkStart w:id="697" w:name="_Toc751866929"/>
      <w:bookmarkStart w:id="698" w:name="_Toc43402919"/>
    </w:p>
    <w:p w14:paraId="7C92F0A8">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加强体育事业发展</w:t>
      </w:r>
      <w:r>
        <w:rPr>
          <w:rFonts w:hint="eastAsia" w:ascii="楷体_GB2312" w:hAnsi="楷体_GB2312" w:eastAsia="楷体_GB2312" w:cs="楷体_GB2312"/>
          <w:b/>
          <w:bCs/>
        </w:rPr>
        <w:t>。</w:t>
      </w:r>
      <w:r>
        <w:rPr>
          <w:rFonts w:hint="eastAsia" w:ascii="仿宋_GB2312" w:hAnsi="仿宋_GB2312" w:eastAsia="仿宋_GB2312" w:cs="仿宋_GB2312"/>
          <w:szCs w:val="32"/>
        </w:rPr>
        <w:t>持续完善全民健身公共服务体系，加强体育基础设施建设，推进体育场馆智能化改造，提升现有休闲公园功能设施，健全中心城区、苏木镇、嘎查村三级公共体育设施网络，推动社区、苏木镇多功能健身馆、嘎查村全民健身活动室实现全覆盖，到2025年，力争形成</w:t>
      </w:r>
      <w:r>
        <w:rPr>
          <w:rFonts w:hint="eastAsia" w:ascii="仿宋_GB2312" w:hAnsi="仿宋_GB2312" w:eastAsia="仿宋_GB2312" w:cs="仿宋_GB2312"/>
          <w:szCs w:val="32"/>
          <w:lang w:val="en-US"/>
        </w:rPr>
        <w:t>配套完善的</w:t>
      </w:r>
      <w:r>
        <w:rPr>
          <w:rFonts w:hint="eastAsia" w:ascii="仿宋_GB2312" w:hAnsi="仿宋_GB2312" w:eastAsia="仿宋_GB2312" w:cs="仿宋_GB2312"/>
          <w:szCs w:val="32"/>
        </w:rPr>
        <w:t>体育场、标准游泳馆、标准体育馆、标准室内综合健身馆和国民体质监测中心“一场三馆一中心”全民健身场所布局</w:t>
      </w:r>
      <w:r>
        <w:rPr>
          <w:rFonts w:hint="eastAsia" w:ascii="仿宋_GB2312" w:hAnsi="仿宋_GB2312" w:eastAsia="仿宋_GB2312" w:cs="仿宋_GB2312"/>
        </w:rPr>
        <w:t>，</w:t>
      </w:r>
      <w:r>
        <w:rPr>
          <w:rFonts w:hint="eastAsia" w:ascii="仿宋_GB2312" w:hAnsi="仿宋_GB2312" w:eastAsia="仿宋_GB2312" w:cs="仿宋_GB2312"/>
          <w:szCs w:val="32"/>
        </w:rPr>
        <w:t>全旗人均体育场地面积达到3.2平方米以上。深化体育改革，</w:t>
      </w:r>
      <w:r>
        <w:rPr>
          <w:rFonts w:hint="eastAsia" w:ascii="仿宋_GB2312" w:hAnsi="仿宋_GB2312" w:eastAsia="仿宋_GB2312" w:cs="仿宋_GB2312"/>
          <w:szCs w:val="32"/>
          <w:lang w:val="en-US"/>
        </w:rPr>
        <w:t>推动体育事业高质量发展三年行动计划</w:t>
      </w:r>
      <w:r>
        <w:rPr>
          <w:rFonts w:ascii="仿宋_GB2312" w:hAnsi="仿宋_GB2312" w:eastAsia="仿宋_GB2312" w:cs="仿宋_GB2312"/>
          <w:szCs w:val="32"/>
        </w:rPr>
        <w:t>，</w:t>
      </w:r>
      <w:r>
        <w:rPr>
          <w:rFonts w:hint="eastAsia" w:ascii="仿宋_GB2312" w:hAnsi="仿宋_GB2312" w:eastAsia="仿宋_GB2312" w:cs="仿宋_GB2312"/>
          <w:szCs w:val="32"/>
          <w:lang w:val="en-US"/>
        </w:rPr>
        <w:t>实现</w:t>
      </w:r>
      <w:r>
        <w:rPr>
          <w:rFonts w:hint="eastAsia" w:ascii="仿宋_GB2312" w:hAnsi="仿宋_GB2312" w:eastAsia="仿宋_GB2312" w:cs="仿宋_GB2312"/>
          <w:szCs w:val="32"/>
        </w:rPr>
        <w:t>学校体育、群众体育、竞技体育、体育文化等体育事业与体育产业深度融合，鼓励社会资本兴办体育产业，加快全民体育事业发展。积极引导发展健身跑、健身走、自行车、钓鱼和球类比赛等群众喜闻乐见的健身休闲项目，大力开发适合老年人特点的体育休闲运动项目，倡导工间操、太极拳、健身气功等日常健身活动，全面提高居民身体素质。鼓励校园体育场馆设施利用周末、暑期、节假日对外开放，健全安保、防疫、环卫、设施维护等管理机制，确保安全文明使用，丰富体育资源供给。推进教体协同融合发展，广泛普及校园足球、校园啦啦操等特色教育，大力推进足球文化特色旗建设，打造达拉特旗文化新名片。到2025年，自治区级及以上特色学校达到25所、特色幼儿园达到12所，市级以上特色学校达到3所、特色幼儿园达到3所。</w:t>
      </w:r>
    </w:p>
    <w:tbl>
      <w:tblPr>
        <w:tblStyle w:val="24"/>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fixed"/>
        <w:tblCellMar>
          <w:top w:w="0" w:type="dxa"/>
          <w:left w:w="108" w:type="dxa"/>
          <w:bottom w:w="0" w:type="dxa"/>
          <w:right w:w="108" w:type="dxa"/>
        </w:tblCellMar>
      </w:tblPr>
      <w:tblGrid>
        <w:gridCol w:w="9064"/>
      </w:tblGrid>
      <w:tr w14:paraId="7778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492" w:hRule="atLeast"/>
        </w:trPr>
        <w:tc>
          <w:tcPr>
            <w:tcW w:w="9064" w:type="dxa"/>
            <w:shd w:val="clear" w:color="auto" w:fill="FDE9D9" w:themeFill="accent6" w:themeFillShade="D9" w:themeFillTint="33"/>
            <w:vAlign w:val="center"/>
          </w:tcPr>
          <w:p w14:paraId="5C7B5D2A">
            <w:pPr>
              <w:spacing w:line="240" w:lineRule="auto"/>
              <w:ind w:firstLine="562"/>
              <w:jc w:val="center"/>
              <w:rPr>
                <w:rFonts w:ascii="Times New Roman" w:hAnsi="Times New Roman" w:eastAsia="仿宋_GB2312" w:cs="Times New Roman"/>
                <w:b/>
                <w:sz w:val="28"/>
                <w:szCs w:val="28"/>
                <w:shd w:val="pct10" w:color="auto" w:fill="FFFFFF"/>
              </w:rPr>
            </w:pPr>
            <w:r>
              <w:rPr>
                <w:rFonts w:ascii="Times New Roman" w:hAnsi="Times New Roman" w:eastAsia="仿宋_GB2312" w:cs="Times New Roman"/>
                <w:b/>
                <w:sz w:val="28"/>
                <w:szCs w:val="28"/>
              </w:rPr>
              <w:t>专栏15：足球文化特色旗</w:t>
            </w:r>
          </w:p>
        </w:tc>
      </w:tr>
      <w:tr w14:paraId="7878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9064" w:type="dxa"/>
            <w:shd w:val="clear" w:color="auto" w:fill="D8D8D8" w:themeFill="background1" w:themeFillShade="D9"/>
          </w:tcPr>
          <w:p w14:paraId="3DF61342">
            <w:pPr>
              <w:pStyle w:val="62"/>
              <w:numPr>
                <w:ilvl w:val="0"/>
                <w:numId w:val="2"/>
              </w:numPr>
              <w:spacing w:line="360" w:lineRule="auto"/>
              <w:ind w:firstLineChars="0"/>
              <w:rPr>
                <w:rFonts w:ascii="Times New Roman" w:hAnsi="Times New Roman" w:eastAsia="仿宋_GB2312" w:cs="Times New Roman"/>
                <w:sz w:val="28"/>
                <w:szCs w:val="28"/>
                <w:shd w:val="pct10" w:color="auto" w:fill="FFFFFF"/>
              </w:rPr>
            </w:pPr>
            <w:r>
              <w:rPr>
                <w:rFonts w:hint="eastAsia" w:ascii="仿宋_GB2312" w:hAnsi="Times New Roman" w:eastAsia="仿宋_GB2312" w:cs="Times New Roman"/>
                <w:b/>
                <w:sz w:val="24"/>
                <w:szCs w:val="24"/>
              </w:rPr>
              <w:t>足球文化特色旗：</w:t>
            </w:r>
            <w:r>
              <w:rPr>
                <w:rFonts w:hint="eastAsia" w:ascii="仿宋_GB2312" w:hAnsi="Times New Roman" w:eastAsia="仿宋_GB2312" w:cs="Times New Roman"/>
                <w:sz w:val="24"/>
                <w:szCs w:val="24"/>
              </w:rPr>
              <w:t>以校园足球为龙头，加强全旗足球文化基础设施建设，将</w:t>
            </w:r>
          </w:p>
          <w:p w14:paraId="2153CF48">
            <w:pPr>
              <w:spacing w:line="360" w:lineRule="auto"/>
              <w:ind w:firstLine="0" w:firstLineChars="0"/>
              <w:rPr>
                <w:rFonts w:ascii="Times New Roman" w:hAnsi="Times New Roman" w:eastAsia="仿宋_GB2312" w:cs="Times New Roman"/>
                <w:sz w:val="28"/>
                <w:szCs w:val="28"/>
                <w:shd w:val="pct10" w:color="auto" w:fill="FFFFFF"/>
              </w:rPr>
            </w:pPr>
            <w:r>
              <w:rPr>
                <w:rFonts w:hint="eastAsia" w:ascii="仿宋_GB2312" w:hAnsi="Times New Roman" w:eastAsia="仿宋_GB2312" w:cs="Times New Roman"/>
                <w:sz w:val="24"/>
                <w:szCs w:val="24"/>
              </w:rPr>
              <w:t>足球文化元素深刻融入城市建设和经济社会发展的方方面面，推动形成“足球特色+体育产业+沙漠旅游+生态文明”的新经济发展模式，将“足球小镇”打造成为达拉特旗地域文化新名片。运用新理念、新机制、新载体，集中筹建一批标准化真、假草足球场，配套建设一批比赛队员食、宿场馆和基本生活购物场馆，创建国际化足球训练基地。提升“全国校园足球示范旗”创建水平，提高足球运动普及程度，争取校园足球示范学校100%覆盖率。支持和鼓励全旗足球俱乐部发展，大力培养青少年职业球队俱乐部发展，全力打通足球人才成才通道，建立与专业足球俱乐部和知名高校的长期合作关系，做好优秀球员宣传，打造特色人才教育高地。成立足球产业创投公司，统筹运营足球产业发展规划、人才培养培训、融资等事宜，积极争取主办、承办各类青少年足球体育赛事，不断扩大我旗足球体育影响力。</w:t>
            </w:r>
          </w:p>
        </w:tc>
      </w:tr>
    </w:tbl>
    <w:p w14:paraId="196ED75E">
      <w:pPr>
        <w:pStyle w:val="3"/>
        <w:spacing w:line="600" w:lineRule="exact"/>
        <w:rPr>
          <w:rFonts w:ascii="Times New Roman" w:hAnsi="Times New Roman" w:cs="Times New Roman"/>
          <w:bCs w:val="0"/>
          <w:szCs w:val="32"/>
          <w:shd w:val="clear" w:color="auto" w:fill="FFFFFF"/>
          <w:lang w:val="en-US"/>
        </w:rPr>
      </w:pPr>
      <w:bookmarkStart w:id="699" w:name="_Toc2127330130"/>
      <w:bookmarkStart w:id="700" w:name="_Toc18552"/>
      <w:bookmarkStart w:id="701" w:name="_Toc2508"/>
      <w:r>
        <w:rPr>
          <w:rFonts w:ascii="Times New Roman" w:hAnsi="Times New Roman" w:cs="Times New Roman"/>
          <w:bCs w:val="0"/>
          <w:szCs w:val="32"/>
          <w:shd w:val="clear" w:color="auto" w:fill="FFFFFF"/>
          <w:lang w:val="en-US"/>
        </w:rPr>
        <w:t>第十</w:t>
      </w:r>
      <w:r>
        <w:rPr>
          <w:rFonts w:hint="eastAsia" w:ascii="Times New Roman" w:hAnsi="Times New Roman" w:cs="Times New Roman"/>
          <w:bCs w:val="0"/>
          <w:szCs w:val="32"/>
          <w:shd w:val="clear" w:color="auto" w:fill="FFFFFF"/>
          <w:lang w:val="en-US"/>
        </w:rPr>
        <w:t>一</w:t>
      </w:r>
      <w:r>
        <w:rPr>
          <w:rFonts w:ascii="Times New Roman" w:hAnsi="Times New Roman" w:cs="Times New Roman"/>
          <w:bCs w:val="0"/>
          <w:szCs w:val="32"/>
          <w:shd w:val="clear" w:color="auto" w:fill="FFFFFF"/>
          <w:lang w:val="en-US"/>
        </w:rPr>
        <w:t>章 加强和创新社会治理，建设平安法治达拉特</w:t>
      </w:r>
      <w:bookmarkEnd w:id="699"/>
      <w:bookmarkEnd w:id="700"/>
      <w:bookmarkEnd w:id="701"/>
    </w:p>
    <w:p w14:paraId="422298F5">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牢牢把握社会治理核心是人、重心在城乡社区、关键是体制机制创新的总要求，坚持底线思维、坚持问题导向，强化党的领导，调动各方力量参与共建，筑牢街镇、社区基层社会治理“桥头堡”，提升社会治理现代化水平，打造社会治理创新实践旗。</w:t>
      </w:r>
    </w:p>
    <w:p w14:paraId="2C1E8C74">
      <w:pPr>
        <w:pStyle w:val="4"/>
        <w:spacing w:line="600" w:lineRule="exact"/>
        <w:rPr>
          <w:rFonts w:ascii="Times New Roman" w:hAnsi="Times New Roman" w:eastAsia="楷体_GB2312" w:cs="Times New Roman"/>
        </w:rPr>
      </w:pPr>
      <w:bookmarkStart w:id="702" w:name="_Toc582256007"/>
      <w:bookmarkStart w:id="703" w:name="_Toc9891"/>
      <w:bookmarkStart w:id="704" w:name="_Toc14482"/>
      <w:r>
        <w:rPr>
          <w:rFonts w:hint="eastAsia" w:ascii="楷体_GB2312" w:hAnsi="楷体_GB2312" w:eastAsia="楷体_GB2312" w:cs="楷体_GB2312"/>
          <w:lang w:val="en-GB"/>
        </w:rPr>
        <w:t>第一节坚持党的全面领导，</w:t>
      </w:r>
      <w:bookmarkEnd w:id="702"/>
      <w:bookmarkEnd w:id="703"/>
      <w:r>
        <w:rPr>
          <w:rFonts w:hint="eastAsia" w:ascii="楷体_GB2312" w:hAnsi="楷体_GB2312" w:eastAsia="楷体_GB2312" w:cs="楷体_GB2312"/>
          <w:lang w:val="en-GB"/>
        </w:rPr>
        <w:t>增强党的执政能力</w:t>
      </w:r>
      <w:bookmarkEnd w:id="704"/>
    </w:p>
    <w:p w14:paraId="2F653FB0">
      <w:pPr>
        <w:spacing w:line="600" w:lineRule="exact"/>
        <w:ind w:firstLine="640"/>
        <w:rPr>
          <w:rFonts w:ascii="仿宋_GB2312" w:hAnsi="仿宋_GB2312" w:eastAsia="仿宋_GB2312" w:cs="仿宋_GB2312"/>
        </w:rPr>
      </w:pPr>
      <w:bookmarkStart w:id="705" w:name="_Toc631042194"/>
      <w:bookmarkStart w:id="706" w:name="_Toc4102"/>
      <w:bookmarkStart w:id="707" w:name="_Toc2041213917"/>
      <w:bookmarkStart w:id="708" w:name="_Toc21692"/>
      <w:r>
        <w:rPr>
          <w:rFonts w:hint="eastAsia" w:ascii="仿宋_GB2312" w:hAnsi="仿宋_GB2312" w:eastAsia="仿宋_GB2312" w:cs="仿宋_GB2312"/>
          <w:szCs w:val="32"/>
        </w:rPr>
        <w:t>坚持和强化党组织的领导核心作用，贯彻党把方向、谋大局、定政策、促改革的要求，推动</w:t>
      </w:r>
      <w:r>
        <w:rPr>
          <w:rFonts w:hint="eastAsia" w:ascii="仿宋_GB2312" w:hAnsi="仿宋_GB2312" w:eastAsia="仿宋_GB2312" w:cs="仿宋_GB2312"/>
          <w:spacing w:val="6"/>
          <w:szCs w:val="32"/>
          <w:shd w:val="clear" w:color="auto" w:fill="FFFFFF"/>
        </w:rPr>
        <w:t>党的组织覆盖到企业、社会组织等各个领域，充分发挥好党组织在宣传党的主张、贯彻党的决定、团结动员群众、推动社会发展等方面的战斗堡垒作用，</w:t>
      </w:r>
      <w:r>
        <w:rPr>
          <w:rFonts w:hint="eastAsia" w:ascii="仿宋_GB2312" w:hAnsi="仿宋_GB2312" w:eastAsia="仿宋_GB2312" w:cs="仿宋_GB2312"/>
          <w:szCs w:val="32"/>
        </w:rPr>
        <w:t>把党的政治优势和组织优势转化为城乡社会发展治理优势。</w:t>
      </w:r>
      <w:r>
        <w:rPr>
          <w:rFonts w:hint="eastAsia" w:ascii="楷体_GB2312" w:hAnsi="楷体_GB2312" w:eastAsia="楷体_GB2312" w:cs="楷体_GB2312"/>
          <w:b/>
          <w:bCs/>
          <w:szCs w:val="32"/>
          <w:lang w:val="en-GB"/>
        </w:rPr>
        <w:t>加强思想政治建设。</w:t>
      </w:r>
      <w:r>
        <w:rPr>
          <w:rFonts w:hint="eastAsia" w:ascii="仿宋_GB2312" w:hAnsi="仿宋_GB2312" w:eastAsia="仿宋_GB2312" w:cs="仿宋_GB2312"/>
          <w:szCs w:val="32"/>
          <w:lang w:val="en-GB"/>
        </w:rPr>
        <w:t>深入学习贯彻习近平新时代中国特色社会主义思想，增强“四个意识”、坚定“四个自信”、做到“两个维护”，完善上下贯通、执行有力的组织体系，确保各级党组织决策部署和习近平总书记对内蒙古工作的重要指示精神在我旗有效落实。</w:t>
      </w:r>
      <w:r>
        <w:rPr>
          <w:rFonts w:hint="eastAsia" w:ascii="楷体_GB2312" w:hAnsi="楷体_GB2312" w:eastAsia="楷体_GB2312" w:cs="楷体_GB2312"/>
          <w:b/>
          <w:bCs/>
          <w:szCs w:val="32"/>
          <w:lang w:val="en-GB"/>
        </w:rPr>
        <w:t>加强干部队伍建设。</w:t>
      </w:r>
      <w:r>
        <w:rPr>
          <w:rFonts w:hint="eastAsia" w:ascii="仿宋_GB2312" w:hAnsi="仿宋_GB2312" w:eastAsia="仿宋_GB2312" w:cs="仿宋_GB2312"/>
          <w:szCs w:val="32"/>
          <w:lang w:val="en-GB"/>
        </w:rPr>
        <w:t>全面贯彻新时代党的组织路线，长期坚持“严”的主基调，落实“好干部”标准，打造高素质、专业化干部队伍，不断增强党自我净化、自我完善、自我革新、自我提高的能力，</w:t>
      </w:r>
      <w:r>
        <w:rPr>
          <w:rFonts w:hint="eastAsia" w:ascii="仿宋_GB2312" w:hAnsi="仿宋_GB2312" w:eastAsia="仿宋_GB2312" w:cs="仿宋_GB2312"/>
        </w:rPr>
        <w:t>营造干部清正、政府清廉、政治清明、社会清朗的政治生态和发展环境。</w:t>
      </w:r>
      <w:r>
        <w:rPr>
          <w:rFonts w:hint="eastAsia" w:ascii="仿宋_GB2312" w:hAnsi="仿宋_GB2312" w:eastAsia="仿宋_GB2312" w:cs="仿宋_GB2312"/>
          <w:szCs w:val="32"/>
          <w:lang w:val="en-GB"/>
        </w:rPr>
        <w:t>坚持严管与厚爱结合、激励与约束并重，深入实施“1533”选拔培养计划，健全干部成长选育管用全链条机制，强化教育培训和实践锻炼，加强对敢担当善作为干部的激励保护，以正确用人导向引领干事创业导向。加强人才队伍建设。坚持党管人才，围绕“一心多点”人才工作新格局，完善人才工作体系，深入实施“人才强旗”战略，统筹抓好引才、育才、用才、聚才工作，培养造就大批德才兼备的高素质人才，提升人才核心竞争力。坚持青年优先发展理念，完善青年发展政策体系、工作体系和保障体系，推动实施青年社会主义核心价值观培养、青年创业就业行动、青年志愿者行动等工程，加强青年人才培养、就业与创新创业、社会融入与社会参与工作，优化青年成长发展环境。</w:t>
      </w:r>
      <w:r>
        <w:rPr>
          <w:rFonts w:hint="eastAsia" w:ascii="楷体_GB2312" w:hAnsi="楷体_GB2312" w:eastAsia="楷体_GB2312" w:cs="楷体_GB2312"/>
          <w:b/>
          <w:bCs/>
          <w:szCs w:val="32"/>
          <w:lang w:val="en-US"/>
        </w:rPr>
        <w:t>加强干部作风建设。</w:t>
      </w:r>
      <w:r>
        <w:rPr>
          <w:rFonts w:hint="eastAsia" w:ascii="仿宋_GB2312" w:hAnsi="仿宋_GB2312" w:eastAsia="仿宋_GB2312" w:cs="仿宋_GB2312"/>
        </w:rPr>
        <w:t>深入推进全面从严治党，落实党委主体责任和纪委监督责任，锲而不舍落实中央八项规定精神，持续纠治形式主义、官僚主义，切实减轻基层负担，坚决防止“四风”问题反弹。</w:t>
      </w:r>
      <w:r>
        <w:rPr>
          <w:rFonts w:ascii="Times New Roman" w:hAnsi="Times New Roman" w:eastAsia="仿宋_GB2312" w:cs="Times New Roman"/>
          <w:szCs w:val="32"/>
          <w:lang w:val="en-GB"/>
        </w:rPr>
        <w:t>大力践行群众路线，密切党群干群关系。坚持求真务实，加强调查研究。</w:t>
      </w:r>
      <w:r>
        <w:rPr>
          <w:rFonts w:hint="eastAsia" w:ascii="楷体_GB2312" w:hAnsi="楷体_GB2312" w:eastAsia="楷体_GB2312" w:cs="楷体_GB2312"/>
          <w:b/>
          <w:bCs/>
          <w:szCs w:val="32"/>
          <w:lang w:val="en-US"/>
        </w:rPr>
        <w:t>加强基层党组织建设。</w:t>
      </w:r>
      <w:r>
        <w:rPr>
          <w:rFonts w:hint="eastAsia" w:ascii="仿宋_GB2312" w:hAnsi="仿宋_GB2312" w:eastAsia="仿宋_GB2312" w:cs="仿宋_GB2312"/>
          <w:szCs w:val="32"/>
          <w:lang w:val="en-GB"/>
        </w:rPr>
        <w:t>狠抓基层党建责任制落实，</w:t>
      </w:r>
      <w:r>
        <w:rPr>
          <w:rFonts w:hint="eastAsia" w:ascii="仿宋_GB2312" w:hAnsi="仿宋_GB2312" w:eastAsia="仿宋_GB2312" w:cs="仿宋_GB2312"/>
          <w:spacing w:val="6"/>
          <w:szCs w:val="32"/>
          <w:shd w:val="clear" w:color="auto" w:fill="FFFFFF"/>
        </w:rPr>
        <w:t>加强党支部和党小组社会覆盖面，促进城乡网格化服务管理与基层党建融合发展，</w:t>
      </w:r>
      <w:r>
        <w:rPr>
          <w:rFonts w:hint="eastAsia" w:ascii="仿宋_GB2312" w:hAnsi="仿宋_GB2312" w:eastAsia="仿宋_GB2312" w:cs="仿宋_GB2312"/>
          <w:szCs w:val="32"/>
          <w:lang w:val="en-GB"/>
        </w:rPr>
        <w:t>推进基层组织建设全面进步。</w:t>
      </w:r>
      <w:r>
        <w:rPr>
          <w:rFonts w:hint="eastAsia" w:ascii="仿宋_GB2312" w:hAnsi="仿宋_GB2312" w:eastAsia="仿宋_GB2312" w:cs="仿宋_GB2312"/>
          <w:szCs w:val="32"/>
          <w:lang w:val="en-US"/>
        </w:rPr>
        <w:t>深入实施基层党建提质增效行动，巩固深化嘎查村社区“两委”换届成果，高标准推进“最强党支部”建设，持续整顿软弱涣散基层党组织，加强党建在乡村振兴、基层治理中的引领作用，构建上下贯通、执行有力的组织体系。</w:t>
      </w:r>
      <w:r>
        <w:rPr>
          <w:rFonts w:hint="eastAsia" w:ascii="楷体_GB2312" w:hAnsi="楷体_GB2312" w:eastAsia="楷体_GB2312" w:cs="楷体_GB2312"/>
          <w:b/>
          <w:bCs/>
          <w:szCs w:val="32"/>
          <w:lang w:val="en-GB"/>
        </w:rPr>
        <w:t>认真落实“两个责任”。</w:t>
      </w:r>
      <w:r>
        <w:rPr>
          <w:rFonts w:ascii="Times New Roman" w:hAnsi="Times New Roman" w:eastAsia="仿宋_GB2312" w:cs="Times New Roman"/>
          <w:szCs w:val="32"/>
        </w:rPr>
        <w:t>坚持将政治建设同业务能力建设相结合，提升党员干部理论素养和政策水平，不断增强社会发展治理的领导力、执行力和创新力。</w:t>
      </w:r>
      <w:r>
        <w:rPr>
          <w:rFonts w:ascii="Times New Roman" w:hAnsi="Times New Roman" w:eastAsia="仿宋_GB2312" w:cs="Times New Roman"/>
          <w:szCs w:val="32"/>
          <w:lang w:val="en-GB"/>
        </w:rPr>
        <w:t>压紧压实全面从严治党主体责任、监督责任，坚持把党风廉政建设摆在突出位置，教育引导全旗广大党员干部坚定理想信念，勇做新时代先锋。</w:t>
      </w:r>
      <w:r>
        <w:rPr>
          <w:rFonts w:ascii="Times New Roman" w:hAnsi="Times New Roman" w:eastAsia="仿宋_GB2312" w:cs="Times New Roman"/>
          <w:szCs w:val="32"/>
        </w:rPr>
        <w:t>强化对公权力运行的制约和监督，坚持无禁区、全覆盖、零容忍，</w:t>
      </w:r>
      <w:r>
        <w:rPr>
          <w:rFonts w:hint="eastAsia" w:ascii="仿宋_GB2312" w:hAnsi="仿宋_GB2312" w:eastAsia="仿宋_GB2312" w:cs="仿宋_GB2312"/>
        </w:rPr>
        <w:t>坚决查处重点领域和群众身边腐败问题，</w:t>
      </w:r>
      <w:r>
        <w:rPr>
          <w:rFonts w:ascii="Times New Roman" w:hAnsi="Times New Roman" w:eastAsia="仿宋_GB2312" w:cs="Times New Roman"/>
          <w:szCs w:val="32"/>
        </w:rPr>
        <w:t>一体推进不敢腐、不能腐、不想腐，营造风清气正的良好政治生态。</w:t>
      </w:r>
      <w:r>
        <w:rPr>
          <w:rFonts w:hint="eastAsia" w:ascii="楷体_GB2312" w:hAnsi="仿宋_GB2312" w:eastAsia="楷体_GB2312" w:cs="仿宋_GB2312"/>
          <w:b/>
        </w:rPr>
        <w:t>完善大统战工作格局。</w:t>
      </w:r>
      <w:r>
        <w:rPr>
          <w:rFonts w:hint="eastAsia" w:ascii="仿宋_GB2312" w:hAnsi="仿宋_GB2312" w:eastAsia="仿宋_GB2312" w:cs="仿宋_GB2312"/>
        </w:rPr>
        <w:t>促进民族关系、宗教关系、阶层关系和谐，巩固和发展最广泛的爱国统一战线。加强民营经济和新的社会阶层人士统战工作，全面贯彻党的侨务政策，广泛团结港澳同胞、台湾同胞和海外侨胞等爱国友好力量，凝聚侨心、服务大局。加强党对武装工作的领导，推进国防后备力量建设，提高国防动员能力，做好“双拥”工作，巩固和发展军政军民团结。</w:t>
      </w:r>
    </w:p>
    <w:p w14:paraId="763B4688">
      <w:pPr>
        <w:pStyle w:val="4"/>
        <w:spacing w:line="600" w:lineRule="exact"/>
        <w:rPr>
          <w:rFonts w:ascii="Times New Roman" w:hAnsi="Times New Roman" w:cs="Times New Roman"/>
        </w:rPr>
      </w:pPr>
      <w:bookmarkStart w:id="709" w:name="_Toc8000"/>
      <w:r>
        <w:rPr>
          <w:rFonts w:hint="eastAsia" w:ascii="楷体_GB2312" w:hAnsi="楷体_GB2312" w:eastAsia="楷体_GB2312" w:cs="楷体_GB2312"/>
          <w:lang w:val="en-GB"/>
        </w:rPr>
        <w:t>第二节坚持以人民为中心，防范</w:t>
      </w:r>
      <w:r>
        <w:rPr>
          <w:rFonts w:hint="eastAsia" w:ascii="楷体_GB2312" w:hAnsi="楷体_GB2312" w:eastAsia="楷体_GB2312" w:cs="楷体_GB2312"/>
        </w:rPr>
        <w:t>化解重大风险</w:t>
      </w:r>
      <w:bookmarkEnd w:id="705"/>
      <w:bookmarkEnd w:id="706"/>
      <w:bookmarkEnd w:id="709"/>
    </w:p>
    <w:p w14:paraId="37DD1081">
      <w:pPr>
        <w:spacing w:line="600" w:lineRule="exact"/>
        <w:ind w:firstLine="640"/>
        <w:rPr>
          <w:rFonts w:ascii="仿宋_GB2312" w:hAnsi="仿宋_GB2312" w:eastAsia="仿宋_GB2312" w:cs="仿宋_GB2312"/>
          <w:szCs w:val="32"/>
          <w:lang w:val="en-GB"/>
        </w:rPr>
      </w:pPr>
      <w:r>
        <w:rPr>
          <w:rFonts w:hint="eastAsia" w:ascii="仿宋_GB2312" w:hAnsi="仿宋_GB2312" w:eastAsia="仿宋_GB2312" w:cs="仿宋_GB2312"/>
          <w:szCs w:val="32"/>
        </w:rPr>
        <w:t>牢固树立安全发展理念，坚持总体国家安全观，落实国家安全责任制，将安全发展贯穿经济社会发展各领域和全过程，坚持预防为主，防范化解重大安全风险，</w:t>
      </w:r>
      <w:r>
        <w:rPr>
          <w:rFonts w:hint="eastAsia" w:ascii="仿宋_GB2312" w:hAnsi="仿宋_GB2312" w:eastAsia="仿宋_GB2312" w:cs="仿宋_GB2312"/>
          <w:szCs w:val="32"/>
          <w:lang w:val="en-GB"/>
        </w:rPr>
        <w:t>建设平安达拉特。</w:t>
      </w:r>
    </w:p>
    <w:p w14:paraId="33914D73">
      <w:pPr>
        <w:spacing w:line="600" w:lineRule="exact"/>
        <w:ind w:firstLine="643"/>
        <w:rPr>
          <w:rFonts w:ascii="仿宋_GB2312" w:hAnsi="仿宋_GB2312" w:eastAsia="仿宋_GB2312" w:cs="仿宋_GB2312"/>
          <w:szCs w:val="32"/>
          <w:lang w:val="en-GB"/>
        </w:rPr>
      </w:pPr>
      <w:r>
        <w:rPr>
          <w:rStyle w:val="34"/>
          <w:rFonts w:hint="eastAsia" w:ascii="楷体_GB2312" w:hAnsi="楷体_GB2312" w:eastAsia="楷体_GB2312" w:cs="楷体_GB2312"/>
          <w:lang w:val="en-GB"/>
        </w:rPr>
        <w:t>提升政治安全风险防范化解水平</w:t>
      </w:r>
      <w:r>
        <w:rPr>
          <w:rFonts w:hint="eastAsia" w:ascii="楷体_GB2312" w:hAnsi="楷体_GB2312" w:eastAsia="楷体_GB2312" w:cs="楷体_GB2312"/>
          <w:b/>
          <w:bCs/>
          <w:lang w:val="en-GB"/>
        </w:rPr>
        <w:t>。</w:t>
      </w:r>
      <w:r>
        <w:rPr>
          <w:rFonts w:hint="eastAsia" w:ascii="仿宋_GB2312" w:hAnsi="仿宋_GB2312" w:eastAsia="仿宋_GB2312" w:cs="仿宋_GB2312"/>
          <w:szCs w:val="32"/>
          <w:lang w:val="en-GB"/>
        </w:rPr>
        <w:t>加强国家安全人民防线建设，增强全民国家安全意识。依法加强境外非政府组织在旗域内的活动管理，防范打击极端宗教活动、民族分裂活动，深化反恐怖斗争，坚决防止相关案事件在旗域发生。严密防范境外宗教渗透，依法防范处置利用宗教从事违法犯罪活动。深挖打击邪教违法犯罪，扎实做好涉邪教风险预警与处置。全面贯彻党的民族政策，坚持依法管理民族事务，深入持久开展以“八进”为目标的民族团结进步创建活动，铸牢中华民族共同体意识，</w:t>
      </w:r>
      <w:r>
        <w:rPr>
          <w:rFonts w:hint="eastAsia" w:ascii="仿宋_GB2312" w:hAnsi="仿宋_GB2312" w:eastAsia="仿宋_GB2312" w:cs="仿宋_GB2312"/>
          <w:szCs w:val="32"/>
        </w:rPr>
        <w:t>加大民族文化传承保护力度，</w:t>
      </w:r>
      <w:r>
        <w:rPr>
          <w:rFonts w:hint="eastAsia" w:ascii="仿宋_GB2312" w:hAnsi="仿宋_GB2312" w:eastAsia="仿宋_GB2312" w:cs="仿宋_GB2312"/>
          <w:szCs w:val="32"/>
          <w:lang w:val="en-GB"/>
        </w:rPr>
        <w:t>促进各民族交往交流交融，</w:t>
      </w:r>
      <w:r>
        <w:rPr>
          <w:rFonts w:hint="eastAsia" w:ascii="仿宋_GB2312" w:hAnsi="仿宋_GB2312" w:eastAsia="仿宋_GB2312" w:cs="仿宋_GB2312"/>
          <w:szCs w:val="32"/>
        </w:rPr>
        <w:t>建设全国民族团结进步示范旗。</w:t>
      </w:r>
    </w:p>
    <w:p w14:paraId="3A00AF17">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lang w:val="en-GB"/>
        </w:rPr>
        <w:t>提升社会稳定风险防范化解水平</w:t>
      </w:r>
      <w:r>
        <w:rPr>
          <w:rFonts w:hint="eastAsia" w:ascii="楷体_GB2312" w:hAnsi="楷体_GB2312" w:eastAsia="楷体_GB2312" w:cs="楷体_GB2312"/>
          <w:b/>
          <w:bCs/>
          <w:lang w:val="en-GB"/>
        </w:rPr>
        <w:t>。</w:t>
      </w:r>
      <w:r>
        <w:rPr>
          <w:rFonts w:hint="eastAsia" w:ascii="仿宋_GB2312" w:hAnsi="仿宋_GB2312" w:eastAsia="仿宋_GB2312" w:cs="仿宋_GB2312"/>
          <w:szCs w:val="32"/>
          <w:lang w:val="en-GB"/>
        </w:rPr>
        <w:t>坚持和发展新时代“枫桥经验”，深化源头治理、系统治理和综合治理，推行基层民主协商自治，完善社会矛盾纠纷多元预防调处化解综合机制，努力将各类社会矛盾纠纷解决在旗域范围。严格落实重大决策社会稳定风险评估制度，健全社会矛盾排查预警机制，及时发现不稳定风险隐患。全面落实领导干部定期大接访和包案化解制度，推动信访积案清仓见底和复杂疑难信访问题联合调处。创新互联网代群众工作方式方法，加强网上信访平台和接访系统建设应用，打造网上信访主渠道。完善调解、仲裁、行政裁决、行政复议、诉讼等社会矛盾纠纷多元化衔接机制，研究制定符合上级要求和我旗实际的政策措施，依法处置和打击缠访、闹访等非正常上访和个人极端上访行为，最大限度化解各类社会矛盾，</w:t>
      </w:r>
      <w:r>
        <w:rPr>
          <w:rFonts w:hint="eastAsia" w:ascii="仿宋_GB2312" w:hAnsi="仿宋_GB2312" w:eastAsia="仿宋_GB2312" w:cs="仿宋_GB2312"/>
          <w:szCs w:val="32"/>
        </w:rPr>
        <w:t>确保全旗信访案件结案达到100%。</w:t>
      </w:r>
    </w:p>
    <w:p w14:paraId="381F5598">
      <w:pPr>
        <w:spacing w:line="600" w:lineRule="exact"/>
        <w:ind w:firstLine="643"/>
        <w:rPr>
          <w:rFonts w:ascii="仿宋_GB2312" w:hAnsi="仿宋_GB2312" w:eastAsia="仿宋_GB2312" w:cs="仿宋_GB2312"/>
          <w:lang w:val="en-GB"/>
        </w:rPr>
      </w:pPr>
      <w:r>
        <w:rPr>
          <w:rStyle w:val="34"/>
          <w:rFonts w:hint="eastAsia" w:ascii="楷体_GB2312" w:hAnsi="楷体_GB2312" w:eastAsia="楷体_GB2312" w:cs="楷体_GB2312"/>
        </w:rPr>
        <w:t>提升公共</w:t>
      </w:r>
      <w:r>
        <w:rPr>
          <w:rStyle w:val="34"/>
          <w:rFonts w:hint="eastAsia" w:ascii="楷体_GB2312" w:hAnsi="楷体_GB2312" w:eastAsia="楷体_GB2312" w:cs="楷体_GB2312"/>
          <w:lang w:val="en-GB"/>
        </w:rPr>
        <w:t>安全风险防范</w:t>
      </w:r>
      <w:r>
        <w:rPr>
          <w:rStyle w:val="34"/>
          <w:rFonts w:hint="eastAsia" w:ascii="楷体_GB2312" w:hAnsi="楷体_GB2312" w:eastAsia="楷体_GB2312" w:cs="楷体_GB2312"/>
          <w:lang w:val="en-US"/>
        </w:rPr>
        <w:t>化解</w:t>
      </w:r>
      <w:r>
        <w:rPr>
          <w:rStyle w:val="34"/>
          <w:rFonts w:hint="eastAsia" w:ascii="楷体_GB2312" w:hAnsi="楷体_GB2312" w:eastAsia="楷体_GB2312" w:cs="楷体_GB2312"/>
          <w:lang w:val="en-GB"/>
        </w:rPr>
        <w:t>水平</w:t>
      </w:r>
      <w:r>
        <w:rPr>
          <w:rFonts w:hint="eastAsia" w:ascii="楷体_GB2312" w:hAnsi="楷体_GB2312" w:eastAsia="楷体_GB2312" w:cs="楷体_GB2312"/>
          <w:b/>
          <w:bCs/>
          <w:lang w:val="en-GB"/>
        </w:rPr>
        <w:t>。</w:t>
      </w:r>
      <w:r>
        <w:rPr>
          <w:rFonts w:hint="eastAsia" w:ascii="仿宋_GB2312" w:hAnsi="仿宋_GB2312" w:eastAsia="仿宋_GB2312" w:cs="仿宋_GB2312"/>
          <w:szCs w:val="32"/>
          <w:lang w:val="en-GB"/>
        </w:rPr>
        <w:t>密切关注人民群众反映强烈的治安问题，常态化开展专项整治行动和社会治安重点地区、治安乱点排查整治。纵深推进扫黑除恶专项斗争，做到打防并举，标本兼治。全面推行信息联动、矛盾纠纷联调、社会治安联防、突出问题联治、重点人员联管、服务管理联抓、基层平安联创，织密织牢社会治安防控体系。扎实推进“一标三实”，构建“大数据+网格化”排查模式，提高预测预警预防风险能力。严格落实安全生产责任制，建立完善安全生产考核机制和办法，加强执法监管和安全服务队伍建设，强化企业安全生产主体责任落实，常态化推进安全生产事故隐患排查治理、专项整治，从严执法、应急救援、宣传教育等工作，推动企业严格履行安全生产法定义务。持续开展煤矿、危险化学品、道路交通、建筑施工、油气输送管道、人员密集场所等高风险行业领域安全生产大检查和各类专项整治，坚决遏制特重大事故发生。加强食品药品安全高压监管，加快建立科学完善、严密高效、社会共治的食品药品安全治理和监管体系，实现生产、流通和消费环节的全流程监管。强化经济安全风险预警、防控机制和能力建设，防范化解重大经济风险，筑牢经济发展安全底线。</w:t>
      </w:r>
    </w:p>
    <w:p w14:paraId="36069F37">
      <w:pPr>
        <w:spacing w:line="600" w:lineRule="exact"/>
        <w:ind w:firstLine="643"/>
        <w:rPr>
          <w:rFonts w:ascii="仿宋_GB2312" w:hAnsi="仿宋_GB2312" w:eastAsia="仿宋_GB2312" w:cs="仿宋_GB2312"/>
          <w:szCs w:val="32"/>
          <w:lang w:val="en-GB"/>
        </w:rPr>
      </w:pPr>
      <w:r>
        <w:rPr>
          <w:rStyle w:val="34"/>
          <w:rFonts w:hint="eastAsia" w:ascii="楷体_GB2312" w:hAnsi="楷体_GB2312" w:eastAsia="楷体_GB2312" w:cs="楷体_GB2312"/>
          <w:lang w:val="en-GB"/>
        </w:rPr>
        <w:t>构建现代应急</w:t>
      </w:r>
      <w:r>
        <w:rPr>
          <w:rStyle w:val="34"/>
          <w:rFonts w:hint="eastAsia" w:ascii="楷体_GB2312" w:hAnsi="楷体_GB2312" w:eastAsia="楷体_GB2312" w:cs="楷体_GB2312"/>
          <w:lang w:val="en-US"/>
        </w:rPr>
        <w:t>救援</w:t>
      </w:r>
      <w:r>
        <w:rPr>
          <w:rStyle w:val="34"/>
          <w:rFonts w:hint="eastAsia" w:ascii="楷体_GB2312" w:hAnsi="楷体_GB2312" w:eastAsia="楷体_GB2312" w:cs="楷体_GB2312"/>
          <w:lang w:val="en-GB"/>
        </w:rPr>
        <w:t>管理体系</w:t>
      </w:r>
      <w:r>
        <w:rPr>
          <w:rFonts w:hint="eastAsia" w:ascii="楷体_GB2312" w:hAnsi="楷体_GB2312" w:eastAsia="楷体_GB2312" w:cs="楷体_GB2312"/>
          <w:b/>
          <w:bCs/>
          <w:lang w:val="en-GB"/>
        </w:rPr>
        <w:t>。</w:t>
      </w:r>
      <w:r>
        <w:rPr>
          <w:rFonts w:hint="eastAsia" w:ascii="仿宋_GB2312" w:hAnsi="仿宋_GB2312" w:eastAsia="仿宋_GB2312" w:cs="仿宋_GB2312"/>
          <w:szCs w:val="32"/>
          <w:lang w:val="en-GB"/>
        </w:rPr>
        <w:t>坚持预防为主、平战结合，健全公共卫生、食品药品、自然灾害、事故灾难、社会安全等监测预警、风险研判和应急救援机制。加强应急管理组织协调和应急救援响应指挥，完善应急综合指挥平台，建立统一指挥、专常兼备、反应灵敏、上下联动的应急管理体制。完善应急管理信息共享机制，制定全旗应急管理预案，建立应急预案体系和科学实用的应急预案系统。加强粮食应急供应网点建设和维护，加快完善消防、应急物资、运输、通信医疗、装备保障体系，加强应急援保障能力建设。开展常态化应急疏散演练，引导社区居民开展风险隐患排查治理，筑牢防灾减灾救灾的人民防线。加强应急管理宣传教育培训，全面提升应急管理干部队伍政治业务素质。加强应急管理科技和信息化、应急管理监管执法规范化建设。</w:t>
      </w:r>
    </w:p>
    <w:p w14:paraId="3B70C290">
      <w:pPr>
        <w:pStyle w:val="4"/>
        <w:spacing w:line="600" w:lineRule="exact"/>
        <w:rPr>
          <w:rFonts w:ascii="Times New Roman" w:hAnsi="Times New Roman" w:cs="Times New Roman"/>
          <w:lang w:val="en-GB"/>
        </w:rPr>
      </w:pPr>
      <w:bookmarkStart w:id="710" w:name="_Toc1651905672"/>
      <w:bookmarkStart w:id="711" w:name="_Toc21271"/>
      <w:bookmarkStart w:id="712" w:name="_Toc12534"/>
      <w:r>
        <w:rPr>
          <w:rFonts w:hint="eastAsia" w:ascii="楷体_GB2312" w:hAnsi="楷体_GB2312" w:eastAsia="楷体_GB2312" w:cs="楷体_GB2312"/>
          <w:lang w:val="en-GB"/>
        </w:rPr>
        <w:t xml:space="preserve">第三节 </w:t>
      </w:r>
      <w:r>
        <w:rPr>
          <w:rFonts w:hint="eastAsia" w:ascii="楷体_GB2312" w:hAnsi="楷体_GB2312" w:eastAsia="楷体_GB2312" w:cs="楷体_GB2312"/>
        </w:rPr>
        <w:t>坚持依法治理，提高社会法制化水平</w:t>
      </w:r>
      <w:bookmarkEnd w:id="710"/>
      <w:bookmarkEnd w:id="711"/>
      <w:bookmarkEnd w:id="712"/>
    </w:p>
    <w:p w14:paraId="65FBCFDD">
      <w:pPr>
        <w:spacing w:line="600" w:lineRule="exact"/>
        <w:ind w:firstLine="640"/>
        <w:rPr>
          <w:rFonts w:ascii="Times New Roman" w:hAnsi="Times New Roman" w:cs="Times New Roman"/>
        </w:rPr>
      </w:pPr>
      <w:r>
        <w:rPr>
          <w:rFonts w:hint="eastAsia" w:ascii="仿宋_GB2312" w:hAnsi="仿宋_GB2312" w:eastAsia="仿宋_GB2312" w:cs="仿宋_GB2312"/>
          <w:szCs w:val="32"/>
        </w:rPr>
        <w:t>弘扬法治精神，培育法治文化，增强以法治方式推进社会治理的思想</w:t>
      </w:r>
      <w:r>
        <w:rPr>
          <w:rFonts w:hint="eastAsia" w:ascii="仿宋_GB2312" w:hAnsi="仿宋_GB2312" w:eastAsia="仿宋_GB2312" w:cs="仿宋_GB2312"/>
          <w:szCs w:val="32"/>
          <w:lang w:val="en-US"/>
        </w:rPr>
        <w:t>自觉性</w:t>
      </w:r>
      <w:r>
        <w:rPr>
          <w:rFonts w:hint="eastAsia" w:ascii="仿宋_GB2312" w:hAnsi="仿宋_GB2312" w:eastAsia="仿宋_GB2312" w:cs="仿宋_GB2312"/>
        </w:rPr>
        <w:t>，</w:t>
      </w:r>
      <w:r>
        <w:rPr>
          <w:rFonts w:hint="eastAsia" w:ascii="仿宋_GB2312" w:hAnsi="仿宋_GB2312" w:eastAsia="仿宋_GB2312" w:cs="仿宋_GB2312"/>
          <w:szCs w:val="32"/>
        </w:rPr>
        <w:t>培育全社会崇尚法律、敬畏法律、遵守法律的坚定信仰，进一步形成办事依法、遇事找法、解决问题用法、化解矛盾靠法的法治环境，建设法治达拉特。</w:t>
      </w:r>
    </w:p>
    <w:p w14:paraId="255A671C">
      <w:pPr>
        <w:spacing w:line="600" w:lineRule="exact"/>
        <w:ind w:firstLine="643"/>
        <w:rPr>
          <w:rFonts w:ascii="仿宋_GB2312" w:hAnsi="仿宋_GB2312" w:eastAsia="仿宋_GB2312" w:cs="仿宋_GB2312"/>
          <w:szCs w:val="32"/>
          <w:lang w:val="en-GB"/>
        </w:rPr>
      </w:pPr>
      <w:r>
        <w:rPr>
          <w:rStyle w:val="34"/>
          <w:rFonts w:hint="eastAsia" w:ascii="楷体_GB2312" w:hAnsi="楷体_GB2312" w:eastAsia="楷体_GB2312" w:cs="楷体_GB2312"/>
          <w:lang w:val="en-GB"/>
        </w:rPr>
        <w:t>推动全社会树立法治意识</w:t>
      </w:r>
      <w:r>
        <w:rPr>
          <w:rFonts w:hint="eastAsia" w:ascii="楷体_GB2312" w:hAnsi="楷体_GB2312" w:eastAsia="楷体_GB2312" w:cs="楷体_GB2312"/>
          <w:b/>
          <w:bCs/>
          <w:szCs w:val="32"/>
          <w:lang w:val="en-GB"/>
        </w:rPr>
        <w:t>。</w:t>
      </w:r>
      <w:r>
        <w:rPr>
          <w:rFonts w:hint="eastAsia" w:ascii="仿宋_GB2312" w:hAnsi="仿宋_GB2312" w:eastAsia="仿宋_GB2312" w:cs="仿宋_GB2312"/>
          <w:szCs w:val="32"/>
          <w:lang w:val="en-GB"/>
        </w:rPr>
        <w:t>深入开展法治宣传教育，引导全民自觉守法、遇事找法、解决问题靠法。加强领导干部法治教育，坚持把领导干部带头学法、模范守法作为全旗各界树立法治意识的关键，完善国家工作人员学法用法制度。健全普法宣传教育机制，强化各级党委和政府对普法工作的领导，</w:t>
      </w:r>
      <w:r>
        <w:rPr>
          <w:rFonts w:hint="eastAsia" w:ascii="仿宋_GB2312" w:hAnsi="仿宋_GB2312" w:eastAsia="仿宋_GB2312" w:cs="仿宋_GB2312"/>
          <w:szCs w:val="32"/>
          <w:lang w:val="en-US"/>
        </w:rPr>
        <w:t>全面深入推进“法律六进”活动，做好“八五”普法启动工作，深入开展宪法和民法典的宣传教育活动。</w:t>
      </w:r>
      <w:r>
        <w:rPr>
          <w:rFonts w:hint="eastAsia" w:ascii="仿宋_GB2312" w:hAnsi="仿宋_GB2312" w:eastAsia="仿宋_GB2312" w:cs="仿宋_GB2312"/>
          <w:szCs w:val="32"/>
          <w:lang w:val="en-GB"/>
        </w:rPr>
        <w:t>充分发挥司法行政部门、法院、检察院、公安、宣传、文化、教育、共青团和人民团体、法律中介机构等在普法教育中的职能作用，</w:t>
      </w:r>
      <w:r>
        <w:rPr>
          <w:rFonts w:hint="eastAsia" w:ascii="仿宋_GB2312" w:hAnsi="仿宋_GB2312" w:eastAsia="仿宋_GB2312" w:cs="仿宋_GB2312"/>
          <w:szCs w:val="32"/>
        </w:rPr>
        <w:t>按照“谁执法谁普法”</w:t>
      </w:r>
      <w:r>
        <w:rPr>
          <w:rFonts w:hint="eastAsia" w:ascii="仿宋_GB2312" w:hAnsi="仿宋_GB2312" w:eastAsia="仿宋_GB2312" w:cs="仿宋_GB2312"/>
          <w:szCs w:val="32"/>
          <w:lang w:val="en-GB"/>
        </w:rPr>
        <w:t>的原则，把法治教育纳入国民教育体系和精神文明创建内容，广泛开展群众性法治文化活动，注重加强青少年法治意识宣传教育。建立健全媒体公益普法制度，</w:t>
      </w:r>
      <w:r>
        <w:rPr>
          <w:rFonts w:hint="eastAsia" w:ascii="仿宋_GB2312" w:hAnsi="仿宋_GB2312" w:eastAsia="仿宋_GB2312" w:cs="仿宋_GB2312"/>
          <w:szCs w:val="32"/>
          <w:lang w:val="en-US"/>
        </w:rPr>
        <w:t>加强互联网+普法工作，</w:t>
      </w:r>
      <w:r>
        <w:rPr>
          <w:rFonts w:hint="eastAsia" w:ascii="仿宋_GB2312" w:hAnsi="仿宋_GB2312" w:eastAsia="仿宋_GB2312" w:cs="仿宋_GB2312"/>
          <w:szCs w:val="32"/>
          <w:lang w:val="en-GB"/>
        </w:rPr>
        <w:t>注重运用新媒体新技术提高普法实效</w:t>
      </w:r>
      <w:r>
        <w:rPr>
          <w:rFonts w:hint="eastAsia" w:ascii="仿宋_GB2312" w:hAnsi="仿宋_GB2312" w:eastAsia="仿宋_GB2312" w:cs="仿宋_GB2312"/>
          <w:szCs w:val="32"/>
          <w:lang w:val="en-US"/>
        </w:rPr>
        <w:t>，增强法治宣传的影响力和针对性</w:t>
      </w:r>
      <w:r>
        <w:rPr>
          <w:rFonts w:hint="eastAsia" w:ascii="仿宋_GB2312" w:hAnsi="仿宋_GB2312" w:eastAsia="仿宋_GB2312" w:cs="仿宋_GB2312"/>
          <w:szCs w:val="32"/>
          <w:lang w:val="en-GB"/>
        </w:rPr>
        <w:t>。加强公民道德建设，弘扬优秀传统文化，增强法治的道德底蕴，强化规则意识，倡导契约精神，弘扬公序良俗。引导全旗广大人民自觉履行法定义务、社会责任、家庭责任。完善守法诚信褒奖机制和违法失信行为惩戒机制，使尊法守法成为全社会的共同追求和自觉行动。</w:t>
      </w:r>
    </w:p>
    <w:p w14:paraId="62601303">
      <w:pPr>
        <w:spacing w:line="600" w:lineRule="exact"/>
        <w:ind w:firstLine="643"/>
        <w:rPr>
          <w:rFonts w:ascii="Times New Roman" w:hAnsi="Times New Roman" w:eastAsia="仿宋_GB2312" w:cs="Times New Roman"/>
          <w:szCs w:val="32"/>
          <w:lang w:val="en-GB"/>
        </w:rPr>
      </w:pPr>
      <w:r>
        <w:rPr>
          <w:rStyle w:val="34"/>
          <w:rFonts w:hint="eastAsia" w:ascii="楷体_GB2312" w:hAnsi="楷体_GB2312" w:eastAsia="楷体_GB2312" w:cs="楷体_GB2312"/>
          <w:lang w:val="en-GB"/>
        </w:rPr>
        <w:t>推进多层次多领域依法治理</w:t>
      </w:r>
      <w:r>
        <w:rPr>
          <w:rFonts w:hint="eastAsia" w:ascii="楷体_GB2312" w:hAnsi="楷体_GB2312" w:eastAsia="楷体_GB2312" w:cs="楷体_GB2312"/>
          <w:b/>
          <w:bCs/>
          <w:szCs w:val="32"/>
          <w:lang w:val="en-GB"/>
        </w:rPr>
        <w:t>。</w:t>
      </w:r>
      <w:r>
        <w:rPr>
          <w:rFonts w:hint="eastAsia" w:ascii="仿宋_GB2312" w:hAnsi="仿宋_GB2312" w:eastAsia="仿宋_GB2312" w:cs="仿宋_GB2312"/>
          <w:szCs w:val="32"/>
          <w:lang w:val="en-GB"/>
        </w:rPr>
        <w:t>加快推进社会治理体制和治理方式创新，提高社会治理法制化水平。充分发挥市民公约、乡规民约、行业规章、社团章程等社会规范在社会治理中的积极作用。建立健全社会组织参与社会事务的机制和制度化渠道，切实发挥人民团体和社会组织在法治社会建设中的积极作用。深入推进基层民主法治创建，健全党组织领导的、充满活力的城乡基层群众自治机制，促进流动人口有效参与社区服务管理。</w:t>
      </w:r>
    </w:p>
    <w:p w14:paraId="4EBAECE8">
      <w:pPr>
        <w:spacing w:line="600" w:lineRule="exact"/>
        <w:ind w:firstLine="643"/>
        <w:rPr>
          <w:rFonts w:ascii="仿宋_GB2312" w:hAnsi="仿宋_GB2312" w:eastAsia="仿宋_GB2312" w:cs="仿宋_GB2312"/>
          <w:szCs w:val="32"/>
          <w:lang w:val="en-GB"/>
        </w:rPr>
      </w:pPr>
      <w:r>
        <w:rPr>
          <w:rStyle w:val="34"/>
          <w:rFonts w:hint="eastAsia" w:ascii="楷体_GB2312" w:hAnsi="楷体_GB2312" w:eastAsia="楷体_GB2312" w:cs="楷体_GB2312"/>
          <w:lang w:val="en-GB"/>
        </w:rPr>
        <w:t>建设完备有效的法律服务体系</w:t>
      </w:r>
      <w:r>
        <w:rPr>
          <w:rFonts w:hint="eastAsia" w:ascii="楷体_GB2312" w:hAnsi="楷体_GB2312" w:eastAsia="楷体_GB2312" w:cs="楷体_GB2312"/>
          <w:b/>
          <w:bCs/>
          <w:szCs w:val="32"/>
          <w:lang w:val="en-GB"/>
        </w:rPr>
        <w:t>。</w:t>
      </w:r>
      <w:r>
        <w:rPr>
          <w:rFonts w:hint="eastAsia" w:ascii="仿宋_GB2312" w:hAnsi="仿宋_GB2312" w:eastAsia="仿宋_GB2312" w:cs="仿宋_GB2312"/>
          <w:szCs w:val="32"/>
          <w:lang w:val="en-GB"/>
        </w:rPr>
        <w:t>深化法治社会建设，壮大法治人才和法律队伍规模。严格落实司法责任制，深入开展政法队伍教育整顿工作</w:t>
      </w:r>
      <w:r>
        <w:rPr>
          <w:rFonts w:hint="eastAsia" w:ascii="仿宋_GB2312" w:hAnsi="仿宋_GB2312" w:eastAsia="仿宋_GB2312" w:cs="仿宋_GB2312"/>
          <w:szCs w:val="32"/>
        </w:rPr>
        <w:t>，</w:t>
      </w:r>
      <w:r>
        <w:rPr>
          <w:rFonts w:hint="eastAsia" w:ascii="仿宋_GB2312" w:hAnsi="仿宋_GB2312" w:eastAsia="仿宋_GB2312" w:cs="仿宋_GB2312"/>
          <w:szCs w:val="32"/>
          <w:lang w:val="en-GB"/>
        </w:rPr>
        <w:t>提高司法公信力。建设覆盖城乡、惠及全民的公共法律服务体系，</w:t>
      </w:r>
      <w:r>
        <w:rPr>
          <w:rFonts w:hint="eastAsia" w:ascii="仿宋_GB2312" w:hAnsi="仿宋_GB2312" w:eastAsia="仿宋_GB2312" w:cs="仿宋_GB2312"/>
          <w:szCs w:val="32"/>
          <w:lang w:val="en-US"/>
        </w:rPr>
        <w:t>加强法律队伍建设，推动公共法律服务三大平台建设，实现法律援助、律师、公证、行政复议等法律服务力量进驻平台；</w:t>
      </w:r>
      <w:r>
        <w:rPr>
          <w:rFonts w:hint="eastAsia" w:ascii="仿宋_GB2312" w:hAnsi="仿宋_GB2312" w:eastAsia="仿宋_GB2312" w:cs="仿宋_GB2312"/>
          <w:szCs w:val="32"/>
          <w:lang w:val="en-GB"/>
        </w:rPr>
        <w:t>加强民生领域法律服务，不断拓宽探索公共法律服务供给模式，让法律服务走进群众中去；构建城乡均等的法律援助工作体系，增强</w:t>
      </w:r>
      <w:r>
        <w:rPr>
          <w:rFonts w:hint="eastAsia" w:ascii="仿宋_GB2312" w:hAnsi="仿宋_GB2312" w:eastAsia="仿宋_GB2312" w:cs="仿宋_GB2312"/>
          <w:szCs w:val="32"/>
          <w:lang w:val="en-US"/>
        </w:rPr>
        <w:t>法律援助力度，简化援助程序，扩大援助覆盖面，实现应援尽援；依法设立社区矫正机构，完善社区矫正工作制度，推动社区矫正工作依法有序运行；</w:t>
      </w:r>
      <w:r>
        <w:rPr>
          <w:rFonts w:hint="eastAsia" w:ascii="仿宋_GB2312" w:hAnsi="仿宋_GB2312" w:eastAsia="仿宋_GB2312" w:cs="仿宋_GB2312"/>
          <w:szCs w:val="32"/>
          <w:lang w:val="en-GB"/>
        </w:rPr>
        <w:t>建立完善苏木镇（街道）、嘎查村（社区）法律服务工作站（室），更好地满足广大人民群众的基本法律服务需求，打通法律公共服务“最后一公里”。</w:t>
      </w:r>
    </w:p>
    <w:p w14:paraId="795AB8CE">
      <w:pPr>
        <w:spacing w:line="600" w:lineRule="exact"/>
        <w:ind w:firstLine="643"/>
        <w:rPr>
          <w:rFonts w:ascii="Times New Roman" w:hAnsi="Times New Roman" w:cs="Times New Roman"/>
          <w:szCs w:val="32"/>
        </w:rPr>
      </w:pPr>
      <w:r>
        <w:rPr>
          <w:rStyle w:val="34"/>
          <w:rFonts w:hint="eastAsia" w:ascii="楷体_GB2312" w:hAnsi="楷体_GB2312" w:eastAsia="楷体_GB2312" w:cs="楷体_GB2312"/>
          <w:lang w:val="en-GB"/>
        </w:rPr>
        <w:t>全面提高依法行政水平</w:t>
      </w:r>
      <w:r>
        <w:rPr>
          <w:rFonts w:hint="eastAsia" w:ascii="楷体_GB2312" w:hAnsi="楷体_GB2312" w:eastAsia="楷体_GB2312" w:cs="楷体_GB2312"/>
          <w:b/>
          <w:bCs/>
          <w:szCs w:val="32"/>
          <w:lang w:val="en-GB"/>
        </w:rPr>
        <w:t>。</w:t>
      </w:r>
      <w:r>
        <w:rPr>
          <w:rFonts w:hint="eastAsia" w:ascii="仿宋_GB2312" w:hAnsi="仿宋_GB2312" w:eastAsia="仿宋_GB2312" w:cs="仿宋_GB2312"/>
          <w:szCs w:val="32"/>
          <w:lang w:val="en-GB"/>
        </w:rPr>
        <w:t>积极推进依法治旗各项工作，确保以宪法为核心的中国特色社会主义法律体系在我旗贯彻实施。</w:t>
      </w:r>
      <w:r>
        <w:rPr>
          <w:rFonts w:hint="eastAsia" w:ascii="仿宋_GB2312" w:hAnsi="仿宋_GB2312" w:eastAsia="仿宋_GB2312" w:cs="仿宋_GB2312"/>
          <w:szCs w:val="32"/>
          <w:lang w:val="en-US"/>
        </w:rPr>
        <w:t>深化行政执法体制改革，严格落实行政执法“三项制度”，</w:t>
      </w:r>
      <w:r>
        <w:rPr>
          <w:rFonts w:hint="eastAsia" w:ascii="仿宋_GB2312" w:hAnsi="仿宋_GB2312" w:eastAsia="仿宋_GB2312" w:cs="仿宋_GB2312"/>
          <w:szCs w:val="32"/>
          <w:lang w:val="en-GB"/>
        </w:rPr>
        <w:t>构建开放、动态、透明、便民的阳光司法机制。强化对司法活动的监督</w:t>
      </w:r>
      <w:r>
        <w:rPr>
          <w:rFonts w:hint="eastAsia" w:ascii="仿宋_GB2312" w:hAnsi="仿宋_GB2312" w:eastAsia="仿宋_GB2312" w:cs="仿宋_GB2312"/>
          <w:szCs w:val="32"/>
          <w:lang w:val="en-US"/>
        </w:rPr>
        <w:t>，不断完善执法程序和操作流程，加强执法人员管理和执法队伍建设。完善法治政府、依法行政各项制度机制，将行政执法、法治政府信息化建设等经费纳入财政预算，切实加大法治政府建设经费保障力度，</w:t>
      </w:r>
      <w:r>
        <w:rPr>
          <w:rFonts w:hint="eastAsia" w:ascii="仿宋_GB2312" w:hAnsi="仿宋_GB2312" w:eastAsia="仿宋_GB2312" w:cs="仿宋_GB2312"/>
          <w:szCs w:val="32"/>
          <w:lang w:val="en-GB"/>
        </w:rPr>
        <w:t>加强政法基础设施建设、物质装备保障和队伍建设，</w:t>
      </w:r>
      <w:r>
        <w:rPr>
          <w:rFonts w:hint="eastAsia" w:ascii="仿宋_GB2312" w:hAnsi="仿宋_GB2312" w:eastAsia="仿宋_GB2312" w:cs="仿宋_GB2312"/>
          <w:szCs w:val="32"/>
          <w:lang w:val="en-US"/>
        </w:rPr>
        <w:t>确保法治政府建设各项工作顺利推进。</w:t>
      </w:r>
      <w:r>
        <w:rPr>
          <w:rFonts w:hint="eastAsia" w:ascii="仿宋_GB2312" w:hAnsi="仿宋_GB2312" w:eastAsia="仿宋_GB2312" w:cs="仿宋_GB2312"/>
          <w:szCs w:val="32"/>
          <w:lang w:val="en-GB"/>
        </w:rPr>
        <w:t>完善社会治安防控体系建设，推进“雪亮工程”建设，建立旗、苏木镇、嘎查村三级公共安全视屏监控联网应用体系，力争重点公共区域、重点行业领域的重要部位视屏监控实现全覆盖。</w:t>
      </w:r>
      <w:r>
        <w:rPr>
          <w:rFonts w:hint="eastAsia" w:ascii="仿宋_GB2312" w:hAnsi="仿宋_GB2312" w:eastAsia="仿宋_GB2312" w:cs="仿宋_GB2312"/>
          <w:szCs w:val="32"/>
          <w:lang w:val="en-US"/>
        </w:rPr>
        <w:t>加强社会治安综合治理，严厉打击危害国家安全、社会治安等刑事犯罪活动和电信诈骗等多发性侵财犯罪，严密防范、依法惩治违法犯罪行为，确保人民群众安全感和幸福感。</w:t>
      </w:r>
      <w:r>
        <w:rPr>
          <w:rFonts w:hint="eastAsia" w:ascii="仿宋_GB2312" w:hAnsi="仿宋_GB2312" w:eastAsia="仿宋_GB2312" w:cs="仿宋_GB2312"/>
          <w:szCs w:val="32"/>
        </w:rPr>
        <w:t>　</w:t>
      </w:r>
    </w:p>
    <w:p w14:paraId="179B47F8">
      <w:pPr>
        <w:pStyle w:val="4"/>
        <w:spacing w:line="600" w:lineRule="exact"/>
        <w:rPr>
          <w:rFonts w:ascii="楷体_GB2312" w:hAnsi="楷体_GB2312" w:eastAsia="楷体_GB2312" w:cs="楷体_GB2312"/>
        </w:rPr>
      </w:pPr>
      <w:bookmarkStart w:id="713" w:name="_Toc10885"/>
      <w:r>
        <w:rPr>
          <w:rFonts w:hint="eastAsia" w:ascii="楷体_GB2312" w:hAnsi="楷体_GB2312" w:eastAsia="楷体_GB2312" w:cs="楷体_GB2312"/>
        </w:rPr>
        <w:t>第四节 坚持民主管理，形成多元参与的强大合力</w:t>
      </w:r>
      <w:bookmarkEnd w:id="707"/>
      <w:bookmarkEnd w:id="708"/>
      <w:bookmarkEnd w:id="713"/>
    </w:p>
    <w:p w14:paraId="7BDE7A02">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着力构建自治、法治、德治相结合的基层治理体系，明确苏木镇、街道职能定位，优化机构设置，将工作重心转移到基层党建、公共服务、公共管理、公共安全和良好社会发展环境上，推进服务型政府建设。建好用好城乡社区党组织书记、社区工作者、志愿者“三支队伍”，落实街道“大工委”及联席会议制度、机关企事业单位党员干部常态化下沉社区制度，突出基层党组织政治功能，强化社区党组织领导下的居委会、业委会、物业企业“三驾马车”基层自治组织功能，推动社区和居民共同研究制定社区公约和公共事务管理制度，搭建邻里互动平台，提高群众自治能力，形成自治共治、共建共享的社区治理机制。强化居民民主决策，加强基层民主协商实践，健全完善居民议事厅、议事场所等专属设施，定期收集民意、解读政策、评定审议涉及居民民切身利益的重要问题，让居民主动成为社区治理主体。健全居民民主监督机制，加强社区干部的廉政意识，培育社区干部照章办事的自觉性和为民办事的廉洁性。坚持社区共同体理念，整合多方资源力量，培育发展社区经济，提升社区自我造血功能，促进社区可持续发展和长效治理。加快推动大数据、人工智能、区块链等现代科技与城乡社会治理深度融合，实现数据赋能，优化治理效能。坚持把社会工作嵌入社会救助，以社区特殊群体需求为导向，帮助解决困难群众“身、心、社”问题，打造有温度的和谐社区。</w:t>
      </w:r>
    </w:p>
    <w:p w14:paraId="477E6B4F">
      <w:pPr>
        <w:pStyle w:val="4"/>
        <w:spacing w:line="600" w:lineRule="exact"/>
        <w:rPr>
          <w:rFonts w:ascii="Times New Roman" w:hAnsi="Times New Roman" w:cs="Times New Roman"/>
          <w:lang w:val="en-GB"/>
        </w:rPr>
      </w:pPr>
      <w:bookmarkStart w:id="714" w:name="_Toc29170"/>
      <w:bookmarkStart w:id="715" w:name="_Toc910040888"/>
      <w:bookmarkStart w:id="716" w:name="_Toc6664"/>
      <w:r>
        <w:rPr>
          <w:rFonts w:hint="eastAsia" w:ascii="楷体_GB2312" w:hAnsi="楷体_GB2312" w:eastAsia="楷体_GB2312" w:cs="楷体_GB2312"/>
          <w:lang w:val="en-US"/>
        </w:rPr>
        <w:t xml:space="preserve">第五节 </w:t>
      </w:r>
      <w:r>
        <w:rPr>
          <w:rFonts w:hint="eastAsia" w:ascii="楷体_GB2312" w:hAnsi="楷体_GB2312" w:eastAsia="楷体_GB2312" w:cs="楷体_GB2312"/>
          <w:lang w:val="en-GB"/>
        </w:rPr>
        <w:t>加强精神文明建设，提升全旗文明程度</w:t>
      </w:r>
      <w:bookmarkEnd w:id="714"/>
      <w:bookmarkEnd w:id="715"/>
      <w:bookmarkEnd w:id="716"/>
    </w:p>
    <w:p w14:paraId="4DD1E60B">
      <w:pPr>
        <w:spacing w:line="600" w:lineRule="exact"/>
        <w:ind w:firstLine="640"/>
      </w:pPr>
      <w:r>
        <w:rPr>
          <w:rFonts w:hint="eastAsia" w:ascii="仿宋_GB2312" w:hAnsi="仿宋_GB2312" w:eastAsia="仿宋_GB2312" w:cs="仿宋_GB2312"/>
          <w:szCs w:val="32"/>
          <w:lang w:val="en-GB"/>
        </w:rPr>
        <w:t>深入开展习近平新时代中国特色社会主义思想学习教育，推进马克思主义理论研究和建设工程。</w:t>
      </w:r>
      <w:r>
        <w:rPr>
          <w:rFonts w:hint="eastAsia" w:ascii="仿宋_GB2312" w:hAnsi="仿宋_GB2312" w:eastAsia="仿宋_GB2312" w:cs="仿宋_GB2312"/>
          <w:szCs w:val="32"/>
          <w:lang w:val="en-US"/>
        </w:rPr>
        <w:t>结合《新时代公民道德建设实施纲要》《新时代爱国主义教育实施纲要》及《内蒙古自治区文明行为促进条例》《鄂尔多斯市文明行为促进条例》学习宣传，推动形成适应新时代要求的思想观念、精神面貌、文明风尚、行为规范。</w:t>
      </w:r>
      <w:r>
        <w:rPr>
          <w:rStyle w:val="34"/>
          <w:rFonts w:hint="eastAsia" w:ascii="仿宋_GB2312" w:hAnsi="仿宋_GB2312" w:eastAsia="仿宋_GB2312" w:cs="仿宋_GB2312"/>
          <w:lang w:val="en-GB"/>
        </w:rPr>
        <w:t>推动理想信念教育常态化、制度化，</w:t>
      </w:r>
      <w:r>
        <w:rPr>
          <w:rFonts w:hint="eastAsia" w:ascii="仿宋_GB2312" w:hAnsi="仿宋_GB2312" w:eastAsia="仿宋_GB2312" w:cs="仿宋_GB2312"/>
          <w:szCs w:val="32"/>
          <w:lang w:val="en-US"/>
        </w:rPr>
        <w:t>加强党史、新中国史、改革开放史、社会主义发展史教育，加强爱国主义、集体主义、社会主义及社会公德、职业道德、家庭美德、个人品德教育，弘扬党和人民在各个历史时期奋斗中形成的伟大精神。积极培育和践行社会主义核心价值观，深入实施新时代公民道德建设行动，继续</w:t>
      </w:r>
      <w:r>
        <w:rPr>
          <w:rFonts w:hint="eastAsia" w:ascii="仿宋_GB2312" w:hAnsi="仿宋_GB2312" w:eastAsia="仿宋_GB2312" w:cs="仿宋_GB2312"/>
          <w:szCs w:val="32"/>
          <w:lang w:val="en-GB"/>
        </w:rPr>
        <w:t>深化文明村镇、文明单位、文明社区、文明校园、文明家庭等群众性精神文明创建活动，</w:t>
      </w:r>
      <w:r>
        <w:rPr>
          <w:rFonts w:hint="eastAsia" w:ascii="仿宋_GB2312" w:hAnsi="仿宋_GB2312" w:eastAsia="仿宋_GB2312" w:cs="仿宋_GB2312"/>
          <w:szCs w:val="32"/>
          <w:lang w:val="en-US"/>
        </w:rPr>
        <w:t>持续推进好人之城、志愿服务之城、诚信之城、书香之城建设，持续选树和广泛宣传道德模范、最美人物、身边好人等先进模范典型，努力营造积极健康、昂扬向上、见贤思齐的良好社会氛围</w:t>
      </w:r>
      <w:r>
        <w:rPr>
          <w:rFonts w:hint="eastAsia" w:ascii="仿宋_GB2312" w:hAnsi="仿宋_GB2312" w:eastAsia="仿宋_GB2312" w:cs="仿宋_GB2312"/>
          <w:szCs w:val="32"/>
          <w:lang w:val="en-GB"/>
        </w:rPr>
        <w:t>，进一步激发社会正能量。</w:t>
      </w:r>
      <w:r>
        <w:rPr>
          <w:rFonts w:hint="eastAsia" w:ascii="仿宋_GB2312" w:hAnsi="仿宋_GB2312" w:eastAsia="仿宋_GB2312" w:cs="仿宋_GB2312"/>
          <w:szCs w:val="32"/>
          <w:lang w:val="en-US"/>
        </w:rPr>
        <w:t>实施文明创建工程，拓展和深化新时代文明实践中心建设，</w:t>
      </w:r>
      <w:r>
        <w:rPr>
          <w:rFonts w:hint="eastAsia" w:ascii="仿宋_GB2312" w:hAnsi="仿宋_GB2312" w:eastAsia="仿宋_GB2312" w:cs="仿宋_GB2312"/>
          <w:szCs w:val="32"/>
          <w:lang w:val="en-GB"/>
        </w:rPr>
        <w:t>大力推进“道德讲堂”建设，</w:t>
      </w:r>
      <w:r>
        <w:rPr>
          <w:rFonts w:hint="eastAsia" w:ascii="仿宋_GB2312" w:hAnsi="仿宋_GB2312" w:eastAsia="仿宋_GB2312" w:cs="仿宋_GB2312"/>
          <w:szCs w:val="32"/>
          <w:lang w:val="en-US"/>
        </w:rPr>
        <w:t>逐步扩大新时代文明实践所、站、点建设任务，培育文明乡风、良好家风、淳朴民风。</w:t>
      </w:r>
      <w:r>
        <w:rPr>
          <w:rStyle w:val="34"/>
          <w:rFonts w:hint="eastAsia" w:ascii="仿宋_GB2312" w:hAnsi="仿宋_GB2312" w:eastAsia="仿宋_GB2312" w:cs="仿宋_GB2312"/>
          <w:lang w:val="en-US"/>
        </w:rPr>
        <w:t>健全志愿服务“三化”体系，</w:t>
      </w:r>
      <w:r>
        <w:rPr>
          <w:rFonts w:hint="eastAsia" w:ascii="仿宋_GB2312" w:hAnsi="仿宋_GB2312" w:eastAsia="仿宋_GB2312" w:cs="仿宋_GB2312"/>
          <w:szCs w:val="32"/>
          <w:lang w:val="en-GB"/>
        </w:rPr>
        <w:t>深入推进“学雷锋”志愿者服务活动，</w:t>
      </w:r>
      <w:r>
        <w:rPr>
          <w:rFonts w:hint="eastAsia" w:ascii="仿宋_GB2312" w:hAnsi="仿宋_GB2312" w:eastAsia="仿宋_GB2312" w:cs="仿宋_GB2312"/>
          <w:szCs w:val="32"/>
        </w:rPr>
        <w:t>围绕精准脱贫、环境保护、乡村振兴等主题，积极开展各类志愿服务活动，打造</w:t>
      </w:r>
      <w:r>
        <w:rPr>
          <w:rStyle w:val="34"/>
          <w:rFonts w:hint="eastAsia" w:ascii="仿宋_GB2312" w:hAnsi="仿宋_GB2312" w:eastAsia="仿宋_GB2312" w:cs="仿宋_GB2312"/>
          <w:lang w:val="en-US"/>
        </w:rPr>
        <w:t>制度化、规范化、常态化</w:t>
      </w:r>
      <w:r>
        <w:rPr>
          <w:rFonts w:hint="eastAsia" w:ascii="仿宋_GB2312" w:hAnsi="仿宋_GB2312" w:eastAsia="仿宋_GB2312" w:cs="仿宋_GB2312"/>
          <w:szCs w:val="32"/>
        </w:rPr>
        <w:t>志愿服务达拉特品牌。</w:t>
      </w:r>
      <w:r>
        <w:rPr>
          <w:rFonts w:hint="eastAsia" w:ascii="仿宋_GB2312" w:hAnsi="仿宋_GB2312" w:eastAsia="仿宋_GB2312" w:cs="仿宋_GB2312"/>
          <w:szCs w:val="32"/>
          <w:lang w:val="en-US"/>
        </w:rPr>
        <w:t>大力弘扬诚信文化，加强诚信人物、诚信单位等宣传推广，对不诚信行为进行联合惩戒。大力提倡艰苦奋斗、勤俭节约、绿色出行等文明新风，组织开展以“劳动创造幸福”“文明节俭用餐”“文明安全出行”等主题宣传教育活动。发挥传统媒体及新媒体作用，拓展网络文明建设和网络传播平台，发展积极健康的网络文化。</w:t>
      </w:r>
    </w:p>
    <w:bookmarkEnd w:id="677"/>
    <w:bookmarkEnd w:id="696"/>
    <w:bookmarkEnd w:id="697"/>
    <w:bookmarkEnd w:id="698"/>
    <w:p w14:paraId="77796C45">
      <w:pPr>
        <w:pStyle w:val="3"/>
        <w:spacing w:line="600" w:lineRule="exact"/>
        <w:rPr>
          <w:rFonts w:ascii="Times New Roman" w:hAnsi="Times New Roman" w:cs="Times New Roman"/>
          <w:bCs w:val="0"/>
          <w:szCs w:val="32"/>
          <w:shd w:val="clear" w:color="auto" w:fill="FFFFFF"/>
          <w:lang w:val="en-US"/>
        </w:rPr>
      </w:pPr>
      <w:bookmarkStart w:id="717" w:name="_Toc32463"/>
      <w:bookmarkStart w:id="718" w:name="_Toc1132503157"/>
      <w:bookmarkStart w:id="719" w:name="_Toc23611"/>
      <w:r>
        <w:rPr>
          <w:rFonts w:ascii="Times New Roman" w:hAnsi="Times New Roman" w:cs="Times New Roman"/>
          <w:bCs w:val="0"/>
          <w:szCs w:val="32"/>
          <w:shd w:val="clear" w:color="auto" w:fill="FFFFFF"/>
          <w:lang w:val="en-US"/>
        </w:rPr>
        <w:t>第十</w:t>
      </w:r>
      <w:r>
        <w:rPr>
          <w:rFonts w:hint="eastAsia" w:ascii="Times New Roman" w:hAnsi="Times New Roman" w:cs="Times New Roman"/>
          <w:bCs w:val="0"/>
          <w:szCs w:val="32"/>
          <w:shd w:val="clear" w:color="auto" w:fill="FFFFFF"/>
          <w:lang w:val="en-US"/>
        </w:rPr>
        <w:t>二</w:t>
      </w:r>
      <w:r>
        <w:rPr>
          <w:rFonts w:ascii="Times New Roman" w:hAnsi="Times New Roman" w:cs="Times New Roman"/>
          <w:bCs w:val="0"/>
          <w:szCs w:val="32"/>
          <w:shd w:val="clear" w:color="auto" w:fill="FFFFFF"/>
          <w:lang w:val="en-US"/>
        </w:rPr>
        <w:t>章  加强规划实施保障，确保规划顺利实施</w:t>
      </w:r>
      <w:bookmarkEnd w:id="717"/>
      <w:bookmarkEnd w:id="718"/>
      <w:bookmarkEnd w:id="719"/>
    </w:p>
    <w:p w14:paraId="119AEEA7">
      <w:pPr>
        <w:spacing w:line="600" w:lineRule="exact"/>
        <w:ind w:firstLine="640"/>
        <w:rPr>
          <w:rFonts w:ascii="Times New Roman" w:hAnsi="Times New Roman" w:eastAsia="仿宋_GB2312" w:cs="Times New Roman"/>
          <w:szCs w:val="32"/>
          <w:lang w:val="en-US"/>
        </w:rPr>
      </w:pPr>
      <w:r>
        <w:rPr>
          <w:rFonts w:ascii="Times New Roman" w:hAnsi="Times New Roman" w:eastAsia="仿宋_GB2312" w:cs="Times New Roman"/>
          <w:szCs w:val="32"/>
          <w:lang w:val="en-US"/>
        </w:rPr>
        <w:t>本《纲要》是指导今后五年达拉特旗经济社会发展的纲领性文件，需要全旗上下统一思想，统一步调，凝聚力量，确保规划的顺利实施。</w:t>
      </w:r>
      <w:bookmarkStart w:id="720" w:name="_Toc1305434492"/>
      <w:bookmarkStart w:id="721" w:name="_Toc832996338"/>
      <w:bookmarkStart w:id="722" w:name="_Toc255914099"/>
      <w:bookmarkStart w:id="723" w:name="_Toc58962842"/>
      <w:bookmarkStart w:id="724" w:name="_Toc4571"/>
      <w:bookmarkStart w:id="725" w:name="_Toc1308276620"/>
    </w:p>
    <w:p w14:paraId="6ED2540D">
      <w:pPr>
        <w:pStyle w:val="4"/>
        <w:spacing w:line="600" w:lineRule="exact"/>
        <w:rPr>
          <w:rFonts w:ascii="楷体_GB2312" w:hAnsi="楷体_GB2312" w:eastAsia="楷体_GB2312" w:cs="楷体_GB2312"/>
          <w:lang w:val="en-US"/>
        </w:rPr>
      </w:pPr>
      <w:bookmarkStart w:id="726" w:name="_Toc28794"/>
      <w:r>
        <w:rPr>
          <w:rFonts w:hint="eastAsia" w:ascii="楷体_GB2312" w:hAnsi="楷体_GB2312" w:eastAsia="楷体_GB2312" w:cs="楷体_GB2312"/>
          <w:lang w:val="en-US"/>
        </w:rPr>
        <w:t>第一节  完善规划实施机制</w:t>
      </w:r>
      <w:bookmarkEnd w:id="720"/>
      <w:bookmarkEnd w:id="721"/>
      <w:bookmarkEnd w:id="722"/>
      <w:bookmarkEnd w:id="723"/>
      <w:bookmarkEnd w:id="724"/>
      <w:bookmarkEnd w:id="725"/>
      <w:bookmarkEnd w:id="726"/>
    </w:p>
    <w:p w14:paraId="05F8A5F3">
      <w:pPr>
        <w:spacing w:line="600" w:lineRule="exact"/>
        <w:ind w:firstLine="643"/>
        <w:rPr>
          <w:rFonts w:ascii="Times New Roman" w:hAnsi="Times New Roman" w:eastAsia="仿宋_GB2312" w:cs="Times New Roman"/>
          <w:szCs w:val="32"/>
        </w:rPr>
      </w:pPr>
      <w:r>
        <w:rPr>
          <w:rFonts w:hint="eastAsia" w:ascii="楷体_GB2312" w:hAnsi="楷体_GB2312" w:eastAsia="楷体_GB2312" w:cs="楷体_GB2312"/>
          <w:b/>
          <w:bCs/>
        </w:rPr>
        <w:t>坚持党总揽全局。</w:t>
      </w:r>
      <w:r>
        <w:rPr>
          <w:rFonts w:hint="eastAsia" w:ascii="仿宋_GB2312" w:hAnsi="仿宋_GB2312" w:eastAsia="仿宋_GB2312" w:cs="仿宋_GB2312"/>
        </w:rPr>
        <w:t>发挥各级党委在经济社会发展工作中的核心作用。成立由旗委政府主要负责人任组长、相关部门负责人为成员的规划实施领导小组，领导小组下设办公室，具体负责规划实施的组织协调、指导和监督。旗直各有关部门、各苏木镇（嘎查村）要正确履行职责，保障规划顺利实施。</w:t>
      </w:r>
    </w:p>
    <w:p w14:paraId="7D1852BF">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强化组织落实</w:t>
      </w:r>
      <w:r>
        <w:rPr>
          <w:rFonts w:hint="eastAsia" w:ascii="楷体_GB2312" w:hAnsi="楷体_GB2312" w:eastAsia="楷体_GB2312" w:cs="楷体_GB2312"/>
          <w:b/>
          <w:bCs/>
        </w:rPr>
        <w:t>。</w:t>
      </w:r>
      <w:r>
        <w:rPr>
          <w:rFonts w:ascii="Times New Roman" w:hAnsi="Times New Roman" w:eastAsia="仿宋_GB2312" w:cs="Times New Roman"/>
          <w:szCs w:val="32"/>
        </w:rPr>
        <w:t>《规划纲要》经旗人代会审议批准后，即具有约束作用，必须强化规划意识，依照规划行事，确保规划的连续性和稳定性，维护规划的权威性和严肃性。规划的主要指标任务要分解落实到各苏木镇和旗直各部门，各牵头部门要将相关目标、指标和主要任务进一步分解到年度，纳入各自年度工作计划，明确进度要求及具体政策措施，确保规划目标任务有计划、按步骤得到落实，定期督促检查，加强跟踪问效，确保各项任务顺利实施。</w:t>
      </w:r>
    </w:p>
    <w:p w14:paraId="1D2718B7">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促进规划衔接</w:t>
      </w:r>
      <w:r>
        <w:rPr>
          <w:rFonts w:hint="eastAsia" w:ascii="楷体_GB2312" w:hAnsi="楷体_GB2312" w:eastAsia="楷体_GB2312" w:cs="楷体_GB2312"/>
          <w:b/>
          <w:bCs/>
        </w:rPr>
        <w:t>。</w:t>
      </w:r>
      <w:r>
        <w:rPr>
          <w:rFonts w:hint="eastAsia" w:ascii="仿宋_GB2312" w:hAnsi="仿宋_GB2312" w:eastAsia="仿宋_GB2312" w:cs="仿宋_GB2312"/>
        </w:rPr>
        <w:t>促</w:t>
      </w:r>
      <w:r>
        <w:rPr>
          <w:rFonts w:hint="eastAsia" w:ascii="仿宋_GB2312" w:hAnsi="仿宋_GB2312" w:eastAsia="仿宋_GB2312" w:cs="仿宋_GB2312"/>
          <w:szCs w:val="32"/>
        </w:rPr>
        <w:t>进本规划与自治区、市“十四五”规划有效衔接，在约束性目标、产业定位、空间功能、基础设施建设等方面加强与上级规划的衔接，顺应国家、自治区、市发展战略导向，主动融入大的发展格局。加强与国土空间规划、土地利用规划、城乡体系规划等各级各类规划的衔接，确保其他规划与本《规划纲要》的有效统一，提高执行规划的科学性和有效性。以本《规划纲要》为统领，加快编制农牧业、工业、交通、社会发展等专项规划，完善规划体系，将规划确定的目标细化分解，将规划的任务具体落实，促进各项事业协调发展。</w:t>
      </w:r>
      <w:bookmarkStart w:id="727" w:name="_Toc1886000599"/>
      <w:bookmarkStart w:id="728" w:name="_Toc120090707"/>
      <w:bookmarkStart w:id="729" w:name="_Toc1744569292"/>
      <w:bookmarkStart w:id="730" w:name="_Toc58962843"/>
    </w:p>
    <w:p w14:paraId="33BE25CF">
      <w:pPr>
        <w:spacing w:line="600" w:lineRule="exact"/>
        <w:ind w:firstLine="643"/>
        <w:rPr>
          <w:rFonts w:ascii="Times New Roman" w:hAnsi="Times New Roman" w:eastAsia="仿宋_GB2312" w:cs="Times New Roman"/>
          <w:szCs w:val="32"/>
          <w:lang w:val="en-US"/>
        </w:rPr>
      </w:pPr>
      <w:r>
        <w:rPr>
          <w:rStyle w:val="34"/>
          <w:rFonts w:hint="eastAsia" w:ascii="楷体_GB2312" w:hAnsi="楷体_GB2312" w:eastAsia="楷体_GB2312" w:cs="楷体_GB2312"/>
          <w:lang w:val="en-US"/>
        </w:rPr>
        <w:t>建立动态调整机制</w:t>
      </w:r>
      <w:r>
        <w:rPr>
          <w:rFonts w:hint="eastAsia" w:ascii="楷体_GB2312" w:hAnsi="楷体_GB2312" w:eastAsia="楷体_GB2312" w:cs="楷体_GB2312"/>
          <w:b/>
          <w:bCs/>
          <w:lang w:val="en-US"/>
        </w:rPr>
        <w:t>。</w:t>
      </w:r>
      <w:r>
        <w:rPr>
          <w:rFonts w:hint="eastAsia" w:ascii="仿宋_GB2312" w:hAnsi="仿宋_GB2312" w:eastAsia="仿宋_GB2312" w:cs="仿宋_GB2312"/>
          <w:szCs w:val="32"/>
          <w:lang w:val="en-US"/>
        </w:rPr>
        <w:t>对“十四五”规划实施情况开展中期评估，形成评估报告，提请旗人大常委会审议，如需对规划进行修订，由旗人民政府提出修订方案，提请旗人民代表大会常务委员会批准。分步、量化实施，促进年度计划与本规划的衔接，对本规划主要约束性指标和预期性指标分年度设置完成目标，撰写年度报告并提请旗人民代表大会审议，监督本规划的目标任务保质保量按时完成。</w:t>
      </w:r>
    </w:p>
    <w:p w14:paraId="7F7DCEA0">
      <w:pPr>
        <w:pStyle w:val="4"/>
        <w:spacing w:line="600" w:lineRule="exact"/>
        <w:rPr>
          <w:rFonts w:ascii="Times New Roman" w:hAnsi="Times New Roman" w:cs="Times New Roman"/>
          <w:lang w:val="en-US"/>
        </w:rPr>
      </w:pPr>
      <w:bookmarkStart w:id="731" w:name="_Toc723557973"/>
      <w:bookmarkStart w:id="732" w:name="_Toc29649"/>
      <w:bookmarkStart w:id="733" w:name="_Toc19874"/>
      <w:r>
        <w:rPr>
          <w:rFonts w:hint="eastAsia" w:ascii="楷体_GB2312" w:hAnsi="楷体_GB2312" w:eastAsia="楷体_GB2312" w:cs="楷体_GB2312"/>
          <w:lang w:val="en-US"/>
        </w:rPr>
        <w:t>第二节  健全宣传保障机制</w:t>
      </w:r>
      <w:bookmarkEnd w:id="727"/>
      <w:bookmarkEnd w:id="728"/>
      <w:bookmarkEnd w:id="729"/>
      <w:bookmarkEnd w:id="730"/>
      <w:bookmarkEnd w:id="731"/>
      <w:bookmarkEnd w:id="732"/>
      <w:bookmarkEnd w:id="733"/>
    </w:p>
    <w:p w14:paraId="1DE0F1F6">
      <w:pPr>
        <w:spacing w:line="600" w:lineRule="exact"/>
        <w:ind w:firstLine="640"/>
        <w:rPr>
          <w:rFonts w:ascii="仿宋_GB2312" w:hAnsi="仿宋_GB2312" w:eastAsia="仿宋_GB2312" w:cs="仿宋_GB2312"/>
          <w:szCs w:val="32"/>
          <w:lang w:val="en-US"/>
        </w:rPr>
      </w:pPr>
      <w:r>
        <w:rPr>
          <w:rFonts w:hint="eastAsia" w:ascii="仿宋_GB2312" w:hAnsi="仿宋_GB2312" w:eastAsia="仿宋_GB2312" w:cs="仿宋_GB2312"/>
          <w:szCs w:val="32"/>
        </w:rPr>
        <w:t>完善信息公开制度，及时公布规划纲要、年度发展计划、专项规划等信息，广泛宣传，促使各类市场主体和广大人民群众了解政府意图与政策导向，引导其自觉参与规划实施，形成全社会共同推进规划实施的合力。推进社会参与，在规划制定、修改和实施的各个环节，充分利用报刊、电视台、微博、微信等多种媒体形式，向社会介绍规划的内容和实施情况，发挥人大代表、政协委员广泛优势，广泛征求意见建议，畅通公共参与、意见表达、监督机制，在全旗范围内形成人人重视规划的良好氛围。</w:t>
      </w:r>
      <w:bookmarkStart w:id="734" w:name="_Toc58962844"/>
      <w:bookmarkStart w:id="735" w:name="_Toc1877368016"/>
      <w:bookmarkStart w:id="736" w:name="_Toc1153437673"/>
      <w:bookmarkStart w:id="737" w:name="_Toc1381858153"/>
    </w:p>
    <w:p w14:paraId="268516AC">
      <w:pPr>
        <w:pStyle w:val="4"/>
        <w:spacing w:line="600" w:lineRule="exact"/>
        <w:rPr>
          <w:rFonts w:ascii="Times New Roman" w:hAnsi="Times New Roman" w:cs="Times New Roman"/>
          <w:lang w:val="en-US"/>
        </w:rPr>
      </w:pPr>
      <w:bookmarkStart w:id="738" w:name="_Toc14235"/>
      <w:bookmarkStart w:id="739" w:name="_Toc28382"/>
      <w:bookmarkStart w:id="740" w:name="_Toc1786442897"/>
      <w:r>
        <w:rPr>
          <w:rFonts w:hint="eastAsia" w:ascii="楷体_GB2312" w:hAnsi="楷体_GB2312" w:eastAsia="楷体_GB2312" w:cs="楷体_GB2312"/>
          <w:lang w:val="en-US"/>
        </w:rPr>
        <w:t>第三节  落实规划政策</w:t>
      </w:r>
      <w:bookmarkEnd w:id="734"/>
      <w:bookmarkEnd w:id="735"/>
      <w:bookmarkEnd w:id="736"/>
      <w:bookmarkEnd w:id="737"/>
      <w:r>
        <w:rPr>
          <w:rFonts w:hint="eastAsia" w:ascii="楷体_GB2312" w:hAnsi="楷体_GB2312" w:eastAsia="楷体_GB2312" w:cs="楷体_GB2312"/>
          <w:lang w:val="en-US"/>
        </w:rPr>
        <w:t>措施</w:t>
      </w:r>
      <w:bookmarkEnd w:id="738"/>
      <w:bookmarkEnd w:id="739"/>
      <w:bookmarkEnd w:id="740"/>
    </w:p>
    <w:p w14:paraId="7A2B9638">
      <w:pPr>
        <w:spacing w:line="600" w:lineRule="exact"/>
        <w:ind w:firstLine="640"/>
        <w:rPr>
          <w:rFonts w:ascii="Times New Roman" w:hAnsi="Times New Roman" w:eastAsia="仿宋_GB2312" w:cs="Times New Roman"/>
          <w:szCs w:val="32"/>
        </w:rPr>
      </w:pPr>
      <w:r>
        <w:rPr>
          <w:rFonts w:hint="eastAsia" w:ascii="仿宋_GB2312" w:hAnsi="仿宋_GB2312" w:eastAsia="仿宋_GB2312" w:cs="仿宋_GB2312"/>
          <w:szCs w:val="32"/>
        </w:rPr>
        <w:t>用活用足国家、自治区、市各级政策，统筹完善达拉特旗各项政策，为“十四五”规划的实施提供政策保障和支持。</w:t>
      </w:r>
    </w:p>
    <w:p w14:paraId="7814065C">
      <w:pPr>
        <w:spacing w:line="600" w:lineRule="exact"/>
        <w:ind w:firstLine="643"/>
        <w:rPr>
          <w:rFonts w:ascii="Times New Roman" w:hAnsi="Times New Roman" w:cs="Times New Roman"/>
        </w:rPr>
      </w:pPr>
      <w:r>
        <w:rPr>
          <w:rStyle w:val="34"/>
          <w:rFonts w:hint="eastAsia" w:ascii="楷体_GB2312" w:hAnsi="楷体_GB2312" w:eastAsia="楷体_GB2312" w:cs="楷体_GB2312"/>
        </w:rPr>
        <w:t>强化政策支持</w:t>
      </w:r>
      <w:r>
        <w:rPr>
          <w:rFonts w:hint="eastAsia" w:ascii="楷体_GB2312" w:hAnsi="楷体_GB2312" w:eastAsia="楷体_GB2312" w:cs="楷体_GB2312"/>
          <w:b/>
          <w:bCs/>
        </w:rPr>
        <w:t>。</w:t>
      </w:r>
      <w:r>
        <w:rPr>
          <w:rFonts w:hint="eastAsia" w:ascii="仿宋_GB2312" w:hAnsi="仿宋_GB2312" w:eastAsia="仿宋_GB2312" w:cs="仿宋_GB2312"/>
          <w:szCs w:val="32"/>
        </w:rPr>
        <w:t>基于近年来国家出台的相关扶持政策，大力宣传创业和就业的优惠政策，鼓励失业人员和大学生自主创业。帮助民营企业、中小企业充分利用国家制定的相关优惠政策，支持企业发展。对于国家支持的重点行业，认真负责地宣传相应的政策措施，在政策实施过程中给予力所能及的帮助</w:t>
      </w:r>
      <w:r>
        <w:rPr>
          <w:rFonts w:hint="eastAsia" w:ascii="仿宋_GB2312" w:hAnsi="仿宋_GB2312" w:eastAsia="仿宋_GB2312" w:cs="仿宋_GB2312"/>
        </w:rPr>
        <w:t>。</w:t>
      </w:r>
    </w:p>
    <w:p w14:paraId="1967AA5B">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优化财政支出结构</w:t>
      </w:r>
      <w:r>
        <w:rPr>
          <w:rFonts w:hint="eastAsia" w:ascii="楷体_GB2312" w:hAnsi="楷体_GB2312" w:eastAsia="楷体_GB2312" w:cs="楷体_GB2312"/>
          <w:b/>
          <w:bCs/>
        </w:rPr>
        <w:t>。</w:t>
      </w:r>
      <w:r>
        <w:rPr>
          <w:rFonts w:ascii="Times New Roman" w:hAnsi="Times New Roman" w:eastAsia="仿宋_GB2312" w:cs="Times New Roman"/>
          <w:szCs w:val="32"/>
        </w:rPr>
        <w:t>加大财政资金整合力度，完善公共财政体系，将公共财政着力用于社会事业和公共服务建设上，向社会事业发展的薄弱环节倾斜，向扩大就业、完善社会保障体系和改善困难群众生活等方面倾斜。制定生态补偿政策，建立全旗生态补偿基金，通过财政转移支付等手段，为生态功能区建设提供财政支持，建立个性化分类考核指标体系，强化对生态环境的指标考核。</w:t>
      </w:r>
    </w:p>
    <w:p w14:paraId="7AD63FCB">
      <w:pPr>
        <w:spacing w:line="600" w:lineRule="exact"/>
        <w:ind w:firstLine="643"/>
        <w:rPr>
          <w:rFonts w:ascii="Times New Roman" w:hAnsi="Times New Roman" w:eastAsia="仿宋_GB2312" w:cs="Times New Roman"/>
          <w:szCs w:val="32"/>
          <w:lang w:val="en-US"/>
        </w:rPr>
      </w:pPr>
      <w:r>
        <w:rPr>
          <w:rStyle w:val="34"/>
          <w:rFonts w:hint="eastAsia" w:ascii="楷体_GB2312" w:hAnsi="楷体_GB2312" w:eastAsia="楷体_GB2312" w:cs="楷体_GB2312"/>
        </w:rPr>
        <w:t>落实科技创新扶持政策</w:t>
      </w:r>
      <w:r>
        <w:rPr>
          <w:rFonts w:hint="eastAsia" w:ascii="楷体_GB2312" w:hAnsi="楷体_GB2312" w:eastAsia="楷体_GB2312" w:cs="楷体_GB2312"/>
          <w:b/>
          <w:bCs/>
        </w:rPr>
        <w:t>。</w:t>
      </w:r>
      <w:r>
        <w:rPr>
          <w:rFonts w:ascii="Times New Roman" w:hAnsi="Times New Roman" w:eastAsia="仿宋_GB2312" w:cs="Times New Roman"/>
          <w:szCs w:val="32"/>
        </w:rPr>
        <w:t>加大对科技创新的扶持力度，在财政资金、金融信贷、税费减免、土地指标、水电资源的安排上，对自主创新项目、高新技术产业予以重点倾斜，打造科技创新政策支撑平台。切实加强知识产权保护工作，促进科技成果转化。进一步完善促进小微企业发展的政策，降低小微企业的准入门槛，加强小微企业公共平台建设。优化引才留才环境，实施人才培训工程，鼓励各类人才积极参与创业、创新活动。</w:t>
      </w:r>
      <w:bookmarkStart w:id="741" w:name="_Toc58962845"/>
      <w:bookmarkStart w:id="742" w:name="_Toc2001818813"/>
      <w:bookmarkStart w:id="743" w:name="_Toc492088642"/>
      <w:bookmarkStart w:id="744" w:name="_Toc2094503188"/>
    </w:p>
    <w:p w14:paraId="1BD0645D">
      <w:pPr>
        <w:pStyle w:val="4"/>
        <w:spacing w:line="600" w:lineRule="exact"/>
        <w:rPr>
          <w:rFonts w:ascii="楷体_GB2312" w:hAnsi="楷体_GB2312" w:eastAsia="楷体_GB2312" w:cs="楷体_GB2312"/>
          <w:szCs w:val="30"/>
          <w:lang w:val="en-US"/>
        </w:rPr>
      </w:pPr>
      <w:bookmarkStart w:id="745" w:name="_Toc6314"/>
      <w:bookmarkStart w:id="746" w:name="_Toc776901172"/>
      <w:bookmarkStart w:id="747" w:name="_Toc13189"/>
      <w:r>
        <w:rPr>
          <w:rFonts w:hint="eastAsia" w:ascii="楷体_GB2312" w:hAnsi="楷体_GB2312" w:eastAsia="楷体_GB2312" w:cs="楷体_GB2312"/>
          <w:lang w:val="en-US"/>
        </w:rPr>
        <w:t>第四节  加强规划实施监督</w:t>
      </w:r>
      <w:bookmarkEnd w:id="741"/>
      <w:bookmarkEnd w:id="742"/>
      <w:bookmarkEnd w:id="743"/>
      <w:bookmarkEnd w:id="744"/>
      <w:bookmarkEnd w:id="745"/>
      <w:bookmarkEnd w:id="746"/>
      <w:bookmarkEnd w:id="747"/>
    </w:p>
    <w:p w14:paraId="52EF0D9B">
      <w:pPr>
        <w:spacing w:line="600" w:lineRule="exact"/>
        <w:ind w:firstLine="643"/>
        <w:rPr>
          <w:rFonts w:ascii="Times New Roman" w:hAnsi="Times New Roman" w:eastAsia="仿宋_GB2312" w:cs="Times New Roman"/>
          <w:szCs w:val="32"/>
        </w:rPr>
      </w:pPr>
      <w:r>
        <w:rPr>
          <w:rStyle w:val="34"/>
          <w:rFonts w:hint="eastAsia" w:ascii="楷体_GB2312" w:hAnsi="楷体_GB2312" w:eastAsia="楷体_GB2312" w:cs="楷体_GB2312"/>
        </w:rPr>
        <w:t>加强对规划实施情况的监督评估</w:t>
      </w:r>
      <w:r>
        <w:rPr>
          <w:rFonts w:hint="eastAsia" w:ascii="楷体_GB2312" w:hAnsi="楷体_GB2312" w:eastAsia="楷体_GB2312" w:cs="楷体_GB2312"/>
          <w:b/>
          <w:bCs/>
        </w:rPr>
        <w:t>。</w:t>
      </w:r>
      <w:r>
        <w:rPr>
          <w:rFonts w:ascii="Times New Roman" w:hAnsi="Times New Roman" w:eastAsia="仿宋_GB2312" w:cs="Times New Roman"/>
          <w:szCs w:val="32"/>
        </w:rPr>
        <w:t>进一步完善旗人民代表大会对《规划纲要》的审议、监督，接受旗政协监督，对规划实施情况跟踪分析，对经济增速、产业结构、社会保障等重要指标进行定期预测预警，对《规划纲要》具体实施情况和重大项目进展进行定期检查，对不符合总体规划要求的项目布点实行报告和质询制度。加强规划实施年度、期中和期末评估，形成评估报告，提出相应的对策建议，推动规划顺利实施。</w:t>
      </w:r>
    </w:p>
    <w:p w14:paraId="634EB98E">
      <w:pPr>
        <w:spacing w:line="600" w:lineRule="exact"/>
        <w:ind w:firstLine="643"/>
        <w:rPr>
          <w:rFonts w:ascii="仿宋_GB2312" w:hAnsi="仿宋_GB2312" w:eastAsia="仿宋_GB2312" w:cs="仿宋_GB2312"/>
          <w:szCs w:val="32"/>
        </w:rPr>
      </w:pPr>
      <w:r>
        <w:rPr>
          <w:rStyle w:val="34"/>
          <w:rFonts w:hint="eastAsia" w:ascii="楷体_GB2312" w:hAnsi="楷体_GB2312" w:eastAsia="楷体_GB2312" w:cs="楷体_GB2312"/>
        </w:rPr>
        <w:t>完善考核办法</w:t>
      </w:r>
      <w:r>
        <w:rPr>
          <w:rFonts w:hint="eastAsia" w:ascii="楷体_GB2312" w:hAnsi="楷体_GB2312" w:eastAsia="楷体_GB2312" w:cs="楷体_GB2312"/>
          <w:b/>
          <w:bCs/>
        </w:rPr>
        <w:t>。</w:t>
      </w:r>
      <w:r>
        <w:rPr>
          <w:rFonts w:hint="eastAsia" w:ascii="仿宋_GB2312" w:hAnsi="仿宋_GB2312" w:eastAsia="仿宋_GB2312" w:cs="仿宋_GB2312"/>
          <w:szCs w:val="32"/>
        </w:rPr>
        <w:t>完善“十四五”规划分类考核指标体系及分类考核办法，把“十四五”规划纳入综合考核范围，加大目标考核力度，将考核结果作为评价领导干部实绩的重要依据，制定完善奖惩措施。加快政府信息公开，加强规划实施监督，公开透明规划编制实施过程，自觉接受群众监督。</w:t>
      </w:r>
    </w:p>
    <w:p w14:paraId="5ABA2D14">
      <w:pPr>
        <w:ind w:firstLine="640"/>
      </w:pPr>
    </w:p>
    <w:sectPr>
      <w:pgSz w:w="11910" w:h="16840"/>
      <w:pgMar w:top="1701" w:right="1474" w:bottom="1701" w:left="1588" w:header="0" w:footer="1247"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PingFang SC">
    <w:altName w:val="微软雅黑"/>
    <w:panose1 w:val="00000000000000000000"/>
    <w:charset w:val="01"/>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0849">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7E9A">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E446">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C16E">
    <w:pPr>
      <w:pStyle w:val="10"/>
      <w:spacing w:line="14" w:lineRule="auto"/>
      <w:ind w:left="0" w:firstLine="560"/>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15085" cy="375920"/>
              <wp:effectExtent l="0" t="0" r="18415" b="5080"/>
              <wp:wrapNone/>
              <wp:docPr id="5" name="文本框 5"/>
              <wp:cNvGraphicFramePr/>
              <a:graphic xmlns:a="http://schemas.openxmlformats.org/drawingml/2006/main">
                <a:graphicData uri="http://schemas.microsoft.com/office/word/2010/wordprocessingShape">
                  <wps:wsp>
                    <wps:cNvSpPr txBox="1"/>
                    <wps:spPr>
                      <a:xfrm>
                        <a:off x="0" y="0"/>
                        <a:ext cx="1315085" cy="375920"/>
                      </a:xfrm>
                      <a:prstGeom prst="rect">
                        <a:avLst/>
                      </a:prstGeom>
                      <a:noFill/>
                      <a:ln>
                        <a:noFill/>
                      </a:ln>
                      <a:effectLst/>
                    </wps:spPr>
                    <wps:txbx>
                      <w:txbxContent>
                        <w:p w14:paraId="7A6E93D7">
                          <w:pPr>
                            <w:pStyle w:val="15"/>
                            <w:ind w:firstLine="360"/>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120</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29.6pt;width:103.55pt;mso-position-horizontal:center;mso-position-horizontal-relative:margin;mso-wrap-style:none;z-index:251660288;mso-width-relative:page;mso-height-relative:page;" filled="f" stroked="f" coordsize="21600,21600" o:gfxdata="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UatP0gAAAAQBAAAPAAAAAAAAAAEAIAAAACIAAABkcnMvZG93&#10;bnJldi54bWxQSwECFAAUAAAACACHTuJAqQOVZ80BAACaAwAADgAAAAAAAAABACAAAAAhAQAAZHJz&#10;L2Uyb0RvYy54bWxQSwUGAAAAAAYABgBZAQAAYAUAAAAA&#10;">
              <v:fill on="f" focussize="0,0"/>
              <v:stroke on="f"/>
              <v:imagedata o:title=""/>
              <o:lock v:ext="edit" aspectratio="f"/>
              <v:textbox inset="0mm,0mm,0mm,0mm" style="mso-fit-shape-to-text:t;">
                <w:txbxContent>
                  <w:p w14:paraId="7A6E93D7">
                    <w:pPr>
                      <w:pStyle w:val="15"/>
                      <w:ind w:firstLine="360"/>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120</w:t>
                    </w:r>
                    <w:r>
                      <w:fldChar w:fldCharType="end"/>
                    </w:r>
                    <w:r>
                      <w:rPr>
                        <w:rFonts w:hint="eastAsia"/>
                      </w:rPr>
                      <w:t xml:space="preserve"> 页</w:t>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9760585</wp:posOffset>
              </wp:positionV>
              <wp:extent cx="165100" cy="144780"/>
              <wp:effectExtent l="0" t="0" r="6350" b="7620"/>
              <wp:wrapNone/>
              <wp:docPr id="142" name="文本框 142"/>
              <wp:cNvGraphicFramePr/>
              <a:graphic xmlns:a="http://schemas.openxmlformats.org/drawingml/2006/main">
                <a:graphicData uri="http://schemas.microsoft.com/office/word/2010/wordprocessingShape">
                  <wps:wsp>
                    <wps:cNvSpPr txBox="1"/>
                    <wps:spPr>
                      <a:xfrm>
                        <a:off x="0" y="0"/>
                        <a:ext cx="165100" cy="144780"/>
                      </a:xfrm>
                      <a:prstGeom prst="rect">
                        <a:avLst/>
                      </a:prstGeom>
                      <a:noFill/>
                      <a:ln>
                        <a:noFill/>
                      </a:ln>
                      <a:effectLst/>
                    </wps:spPr>
                    <wps:txbx>
                      <w:txbxContent>
                        <w:p w14:paraId="7075D6A7">
                          <w:pPr>
                            <w:ind w:firstLine="640"/>
                          </w:pPr>
                        </w:p>
                      </w:txbxContent>
                    </wps:txbx>
                    <wps:bodyPr lIns="0" tIns="0" rIns="0" bIns="0" upright="1"/>
                  </wps:wsp>
                </a:graphicData>
              </a:graphic>
            </wp:anchor>
          </w:drawing>
        </mc:Choice>
        <mc:Fallback>
          <w:pict>
            <v:shape id="_x0000_s1026" o:spid="_x0000_s1026" o:spt="202" type="#_x0000_t202" style="position:absolute;left:0pt;margin-left:291.15pt;margin-top:768.55pt;height:11.4pt;width:13pt;mso-position-horizontal-relative:page;mso-position-vertical-relative:page;z-index:-251657216;mso-width-relative:page;mso-height-relative:page;" filled="f" stroked="f" coordsize="21600,21600" o:gfxdata="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C+Wm3bAAAADQEAAA8AAAAAAAAAAQAgAAAAIgAAAGRycy9kb3ducmV2&#10;LnhtbFBLAQIUABQAAAAIAIdO4kCzlbERwAEAAIMDAAAOAAAAAAAAAAEAIAAAACoBAABkcnMvZTJv&#10;RG9jLnhtbFBLBQYAAAAABgAGAFkBAABcBQAAAAA=&#10;">
              <v:fill on="f" focussize="0,0"/>
              <v:stroke on="f"/>
              <v:imagedata o:title=""/>
              <o:lock v:ext="edit" aspectratio="f"/>
              <v:textbox inset="0mm,0mm,0mm,0mm">
                <w:txbxContent>
                  <w:p w14:paraId="7075D6A7">
                    <w:pPr>
                      <w:ind w:firstLine="6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37EB">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7917">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70CD">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412D2"/>
    <w:multiLevelType w:val="multilevel"/>
    <w:tmpl w:val="3FC412D2"/>
    <w:lvl w:ilvl="0" w:tentative="0">
      <w:start w:val="4"/>
      <w:numFmt w:val="bullet"/>
      <w:lvlText w:val="◆"/>
      <w:lvlJc w:val="left"/>
      <w:pPr>
        <w:ind w:left="840" w:hanging="360"/>
      </w:pPr>
      <w:rPr>
        <w:rFonts w:hint="eastAsia" w:ascii="仿宋_GB2312" w:hAnsi="Calibri" w:eastAsia="仿宋_GB2312" w:cs="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D944919"/>
    <w:multiLevelType w:val="multilevel"/>
    <w:tmpl w:val="5D944919"/>
    <w:lvl w:ilvl="0" w:tentative="0">
      <w:start w:val="1"/>
      <w:numFmt w:val="bullet"/>
      <w:lvlText w:val="◆"/>
      <w:lvlJc w:val="left"/>
      <w:pPr>
        <w:ind w:left="840" w:hanging="360"/>
      </w:pPr>
      <w:rPr>
        <w:rFonts w:hint="eastAsia" w:ascii="仿宋_GB2312" w:hAnsi="Times New Roman" w:eastAsia="仿宋_GB2312" w:cs="Times New Roman"/>
        <w:b w:val="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AEA2A5D"/>
    <w:multiLevelType w:val="multilevel"/>
    <w:tmpl w:val="7AEA2A5D"/>
    <w:lvl w:ilvl="0" w:tentative="0">
      <w:start w:val="4"/>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60"/>
    <w:rsid w:val="00000742"/>
    <w:rsid w:val="001D5547"/>
    <w:rsid w:val="002847EF"/>
    <w:rsid w:val="004B6E2F"/>
    <w:rsid w:val="00542855"/>
    <w:rsid w:val="00784A84"/>
    <w:rsid w:val="008313EF"/>
    <w:rsid w:val="008775A4"/>
    <w:rsid w:val="009135A4"/>
    <w:rsid w:val="00A80C0F"/>
    <w:rsid w:val="00AD6360"/>
    <w:rsid w:val="00B97736"/>
    <w:rsid w:val="00D5322C"/>
    <w:rsid w:val="07E6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92" w:lineRule="exact"/>
      <w:ind w:firstLine="852" w:firstLineChars="200"/>
      <w:jc w:val="both"/>
    </w:pPr>
    <w:rPr>
      <w:rFonts w:ascii="宋体" w:hAnsi="宋体" w:eastAsia="仿宋" w:cs="宋体"/>
      <w:kern w:val="0"/>
      <w:sz w:val="32"/>
      <w:szCs w:val="22"/>
      <w:lang w:val="zh-CN" w:eastAsia="zh-CN" w:bidi="zh-CN"/>
    </w:rPr>
  </w:style>
  <w:style w:type="paragraph" w:styleId="3">
    <w:name w:val="heading 1"/>
    <w:basedOn w:val="1"/>
    <w:next w:val="1"/>
    <w:link w:val="32"/>
    <w:qFormat/>
    <w:uiPriority w:val="1"/>
    <w:pPr>
      <w:snapToGrid w:val="0"/>
      <w:ind w:firstLine="0" w:firstLineChars="0"/>
      <w:jc w:val="center"/>
      <w:outlineLvl w:val="0"/>
    </w:pPr>
    <w:rPr>
      <w:rFonts w:ascii="Microsoft JhengHei" w:hAnsi="Microsoft JhengHei" w:eastAsia="黑体" w:cs="Microsoft JhengHei"/>
      <w:b/>
      <w:bCs/>
      <w:szCs w:val="44"/>
    </w:rPr>
  </w:style>
  <w:style w:type="paragraph" w:styleId="4">
    <w:name w:val="heading 2"/>
    <w:basedOn w:val="1"/>
    <w:next w:val="1"/>
    <w:link w:val="33"/>
    <w:qFormat/>
    <w:uiPriority w:val="1"/>
    <w:pPr>
      <w:ind w:firstLine="0" w:firstLineChars="0"/>
      <w:jc w:val="center"/>
      <w:outlineLvl w:val="1"/>
    </w:pPr>
    <w:rPr>
      <w:rFonts w:ascii="Microsoft JhengHei" w:hAnsi="Microsoft JhengHei" w:eastAsia="楷体" w:cs="Microsoft JhengHei"/>
      <w:b/>
      <w:bCs/>
      <w:szCs w:val="32"/>
    </w:rPr>
  </w:style>
  <w:style w:type="paragraph" w:styleId="5">
    <w:name w:val="heading 3"/>
    <w:basedOn w:val="1"/>
    <w:next w:val="1"/>
    <w:link w:val="34"/>
    <w:qFormat/>
    <w:uiPriority w:val="1"/>
    <w:pPr>
      <w:outlineLvl w:val="2"/>
    </w:pPr>
    <w:rPr>
      <w:rFonts w:ascii="Microsoft JhengHei" w:hAnsi="Microsoft JhengHei" w:eastAsia="楷体" w:cs="Microsoft JhengHei"/>
      <w:b/>
      <w:bCs/>
      <w:szCs w:val="30"/>
    </w:rPr>
  </w:style>
  <w:style w:type="paragraph" w:styleId="6">
    <w:name w:val="heading 4"/>
    <w:basedOn w:val="1"/>
    <w:next w:val="1"/>
    <w:link w:val="35"/>
    <w:qFormat/>
    <w:uiPriority w:val="1"/>
    <w:pPr>
      <w:ind w:left="1402"/>
      <w:outlineLvl w:val="3"/>
    </w:pPr>
    <w:rPr>
      <w:rFonts w:ascii="Microsoft JhengHei" w:hAnsi="Microsoft JhengHei" w:eastAsia="Microsoft JhengHei" w:cs="Microsoft JhengHei"/>
      <w:sz w:val="30"/>
      <w:szCs w:val="30"/>
    </w:rPr>
  </w:style>
  <w:style w:type="paragraph" w:styleId="7">
    <w:name w:val="heading 5"/>
    <w:basedOn w:val="1"/>
    <w:next w:val="1"/>
    <w:link w:val="36"/>
    <w:qFormat/>
    <w:uiPriority w:val="1"/>
    <w:pPr>
      <w:ind w:left="800"/>
      <w:outlineLvl w:val="4"/>
    </w:pPr>
    <w:rPr>
      <w:rFonts w:ascii="Microsoft JhengHei" w:hAnsi="Microsoft JhengHei" w:eastAsia="Microsoft JhengHei" w:cs="Microsoft JhengHei"/>
      <w:b/>
      <w:bCs/>
      <w:sz w:val="28"/>
      <w:szCs w:val="28"/>
    </w:rPr>
  </w:style>
  <w:style w:type="paragraph" w:styleId="8">
    <w:name w:val="heading 6"/>
    <w:basedOn w:val="1"/>
    <w:next w:val="1"/>
    <w:link w:val="37"/>
    <w:unhideWhenUsed/>
    <w:qFormat/>
    <w:uiPriority w:val="0"/>
    <w:pPr>
      <w:keepNext/>
      <w:keepLines/>
      <w:spacing w:line="317" w:lineRule="auto"/>
      <w:outlineLvl w:val="5"/>
    </w:pPr>
    <w:rPr>
      <w:rFonts w:ascii="Arial" w:hAnsi="Arial" w:eastAsia="黑体"/>
      <w:b/>
      <w:sz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pacing w:before="20" w:after="20" w:line="400" w:lineRule="exact"/>
      <w:ind w:firstLine="420"/>
      <w:textAlignment w:val="baseline"/>
    </w:pPr>
  </w:style>
  <w:style w:type="paragraph" w:styleId="9">
    <w:name w:val="annotation text"/>
    <w:basedOn w:val="1"/>
    <w:link w:val="38"/>
    <w:unhideWhenUsed/>
    <w:qFormat/>
    <w:uiPriority w:val="0"/>
    <w:pPr>
      <w:jc w:val="left"/>
    </w:pPr>
  </w:style>
  <w:style w:type="paragraph" w:styleId="10">
    <w:name w:val="Body Text"/>
    <w:basedOn w:val="1"/>
    <w:link w:val="40"/>
    <w:qFormat/>
    <w:uiPriority w:val="1"/>
    <w:pPr>
      <w:ind w:left="800"/>
    </w:pPr>
    <w:rPr>
      <w:sz w:val="28"/>
      <w:szCs w:val="28"/>
    </w:rPr>
  </w:style>
  <w:style w:type="paragraph" w:styleId="11">
    <w:name w:val="Body Text Indent"/>
    <w:basedOn w:val="1"/>
    <w:link w:val="41"/>
    <w:qFormat/>
    <w:uiPriority w:val="0"/>
    <w:pPr>
      <w:ind w:firstLine="3092" w:firstLineChars="700"/>
    </w:pPr>
    <w:rPr>
      <w:rFonts w:eastAsia="仿宋_GB2312"/>
      <w:b/>
      <w:bCs/>
      <w:sz w:val="44"/>
      <w:szCs w:val="44"/>
    </w:rPr>
  </w:style>
  <w:style w:type="paragraph" w:styleId="12">
    <w:name w:val="toc 3"/>
    <w:basedOn w:val="1"/>
    <w:next w:val="1"/>
    <w:qFormat/>
    <w:uiPriority w:val="39"/>
    <w:pPr>
      <w:spacing w:before="265"/>
      <w:ind w:left="1008"/>
    </w:pPr>
    <w:rPr>
      <w:sz w:val="28"/>
      <w:szCs w:val="28"/>
    </w:rPr>
  </w:style>
  <w:style w:type="paragraph" w:styleId="13">
    <w:name w:val="Date"/>
    <w:basedOn w:val="1"/>
    <w:next w:val="1"/>
    <w:link w:val="42"/>
    <w:qFormat/>
    <w:uiPriority w:val="0"/>
    <w:pPr>
      <w:ind w:left="100" w:leftChars="2500"/>
    </w:pPr>
  </w:style>
  <w:style w:type="paragraph" w:styleId="14">
    <w:name w:val="Balloon Text"/>
    <w:basedOn w:val="1"/>
    <w:link w:val="43"/>
    <w:qFormat/>
    <w:uiPriority w:val="0"/>
    <w:rPr>
      <w:sz w:val="18"/>
      <w:szCs w:val="18"/>
    </w:rPr>
  </w:style>
  <w:style w:type="paragraph" w:styleId="15">
    <w:name w:val="footer"/>
    <w:basedOn w:val="1"/>
    <w:link w:val="31"/>
    <w:unhideWhenUsed/>
    <w:qFormat/>
    <w:uiPriority w:val="0"/>
    <w:pPr>
      <w:tabs>
        <w:tab w:val="center" w:pos="4153"/>
        <w:tab w:val="right" w:pos="8306"/>
      </w:tabs>
      <w:snapToGrid w:val="0"/>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65"/>
      <w:ind w:right="807"/>
      <w:jc w:val="right"/>
    </w:pPr>
    <w:rPr>
      <w:sz w:val="28"/>
      <w:szCs w:val="28"/>
    </w:rPr>
  </w:style>
  <w:style w:type="paragraph" w:styleId="18">
    <w:name w:val="footnote text"/>
    <w:basedOn w:val="1"/>
    <w:link w:val="45"/>
    <w:unhideWhenUsed/>
    <w:qFormat/>
    <w:uiPriority w:val="99"/>
    <w:pPr>
      <w:snapToGrid w:val="0"/>
    </w:pPr>
    <w:rPr>
      <w:sz w:val="18"/>
      <w:szCs w:val="18"/>
    </w:rPr>
  </w:style>
  <w:style w:type="paragraph" w:styleId="19">
    <w:name w:val="toc 2"/>
    <w:basedOn w:val="1"/>
    <w:next w:val="1"/>
    <w:qFormat/>
    <w:uiPriority w:val="39"/>
    <w:pPr>
      <w:spacing w:before="5"/>
      <w:ind w:right="807"/>
      <w:jc w:val="right"/>
    </w:pPr>
    <w:rPr>
      <w:sz w:val="24"/>
      <w:szCs w:val="24"/>
    </w:rPr>
  </w:style>
  <w:style w:type="paragraph" w:styleId="20">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21">
    <w:name w:val="annotation subject"/>
    <w:basedOn w:val="9"/>
    <w:next w:val="9"/>
    <w:link w:val="39"/>
    <w:qFormat/>
    <w:uiPriority w:val="0"/>
    <w:rPr>
      <w:b/>
      <w:bCs/>
    </w:rPr>
  </w:style>
  <w:style w:type="paragraph" w:styleId="22">
    <w:name w:val="Body Text First Indent 2"/>
    <w:basedOn w:val="11"/>
    <w:link w:val="44"/>
    <w:qFormat/>
    <w:uiPriority w:val="0"/>
    <w:rPr>
      <w:rFonts w:eastAsia="宋体"/>
      <w:sz w:val="24"/>
    </w:rPr>
  </w:style>
  <w:style w:type="table" w:styleId="24">
    <w:name w:val="Table Grid"/>
    <w:basedOn w:val="23"/>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qFormat/>
    <w:uiPriority w:val="0"/>
    <w:rPr>
      <w:sz w:val="21"/>
      <w:szCs w:val="21"/>
    </w:rPr>
  </w:style>
  <w:style w:type="character" w:styleId="29">
    <w:name w:val="footnote reference"/>
    <w:basedOn w:val="25"/>
    <w:unhideWhenUsed/>
    <w:qFormat/>
    <w:uiPriority w:val="99"/>
    <w:rPr>
      <w:vertAlign w:val="superscript"/>
    </w:rPr>
  </w:style>
  <w:style w:type="character" w:customStyle="1" w:styleId="30">
    <w:name w:val="页眉 Char"/>
    <w:basedOn w:val="25"/>
    <w:link w:val="16"/>
    <w:qFormat/>
    <w:uiPriority w:val="0"/>
    <w:rPr>
      <w:sz w:val="18"/>
      <w:szCs w:val="18"/>
    </w:rPr>
  </w:style>
  <w:style w:type="character" w:customStyle="1" w:styleId="31">
    <w:name w:val="页脚 Char"/>
    <w:basedOn w:val="25"/>
    <w:link w:val="15"/>
    <w:qFormat/>
    <w:uiPriority w:val="0"/>
    <w:rPr>
      <w:sz w:val="18"/>
      <w:szCs w:val="18"/>
    </w:rPr>
  </w:style>
  <w:style w:type="character" w:customStyle="1" w:styleId="32">
    <w:name w:val="标题 1 Char"/>
    <w:basedOn w:val="25"/>
    <w:link w:val="3"/>
    <w:qFormat/>
    <w:uiPriority w:val="1"/>
    <w:rPr>
      <w:rFonts w:ascii="Microsoft JhengHei" w:hAnsi="Microsoft JhengHei" w:eastAsia="黑体" w:cs="Microsoft JhengHei"/>
      <w:b/>
      <w:bCs/>
      <w:kern w:val="0"/>
      <w:sz w:val="32"/>
      <w:szCs w:val="44"/>
      <w:lang w:val="zh-CN" w:bidi="zh-CN"/>
    </w:rPr>
  </w:style>
  <w:style w:type="character" w:customStyle="1" w:styleId="33">
    <w:name w:val="标题 2 Char"/>
    <w:basedOn w:val="25"/>
    <w:link w:val="4"/>
    <w:qFormat/>
    <w:uiPriority w:val="1"/>
    <w:rPr>
      <w:rFonts w:ascii="Microsoft JhengHei" w:hAnsi="Microsoft JhengHei" w:eastAsia="楷体" w:cs="Microsoft JhengHei"/>
      <w:b/>
      <w:bCs/>
      <w:kern w:val="0"/>
      <w:sz w:val="32"/>
      <w:szCs w:val="32"/>
      <w:lang w:val="zh-CN" w:bidi="zh-CN"/>
    </w:rPr>
  </w:style>
  <w:style w:type="character" w:customStyle="1" w:styleId="34">
    <w:name w:val="标题 3 Char"/>
    <w:basedOn w:val="25"/>
    <w:link w:val="5"/>
    <w:qFormat/>
    <w:uiPriority w:val="1"/>
    <w:rPr>
      <w:rFonts w:ascii="Microsoft JhengHei" w:hAnsi="Microsoft JhengHei" w:eastAsia="楷体" w:cs="Microsoft JhengHei"/>
      <w:b/>
      <w:bCs/>
      <w:kern w:val="0"/>
      <w:sz w:val="32"/>
      <w:szCs w:val="30"/>
      <w:lang w:val="zh-CN" w:bidi="zh-CN"/>
    </w:rPr>
  </w:style>
  <w:style w:type="character" w:customStyle="1" w:styleId="35">
    <w:name w:val="标题 4 Char"/>
    <w:basedOn w:val="25"/>
    <w:link w:val="6"/>
    <w:qFormat/>
    <w:uiPriority w:val="1"/>
    <w:rPr>
      <w:rFonts w:ascii="Microsoft JhengHei" w:hAnsi="Microsoft JhengHei" w:eastAsia="Microsoft JhengHei" w:cs="Microsoft JhengHei"/>
      <w:kern w:val="0"/>
      <w:sz w:val="30"/>
      <w:szCs w:val="30"/>
      <w:lang w:val="zh-CN" w:bidi="zh-CN"/>
    </w:rPr>
  </w:style>
  <w:style w:type="character" w:customStyle="1" w:styleId="36">
    <w:name w:val="标题 5 Char"/>
    <w:basedOn w:val="25"/>
    <w:link w:val="7"/>
    <w:qFormat/>
    <w:uiPriority w:val="1"/>
    <w:rPr>
      <w:rFonts w:ascii="Microsoft JhengHei" w:hAnsi="Microsoft JhengHei" w:eastAsia="Microsoft JhengHei" w:cs="Microsoft JhengHei"/>
      <w:b/>
      <w:bCs/>
      <w:kern w:val="0"/>
      <w:sz w:val="28"/>
      <w:szCs w:val="28"/>
      <w:lang w:val="zh-CN" w:bidi="zh-CN"/>
    </w:rPr>
  </w:style>
  <w:style w:type="character" w:customStyle="1" w:styleId="37">
    <w:name w:val="标题 6 Char"/>
    <w:basedOn w:val="25"/>
    <w:link w:val="8"/>
    <w:qFormat/>
    <w:uiPriority w:val="0"/>
    <w:rPr>
      <w:rFonts w:ascii="Arial" w:hAnsi="Arial" w:eastAsia="黑体" w:cs="宋体"/>
      <w:b/>
      <w:kern w:val="0"/>
      <w:sz w:val="24"/>
      <w:lang w:val="zh-CN" w:bidi="zh-CN"/>
    </w:rPr>
  </w:style>
  <w:style w:type="character" w:customStyle="1" w:styleId="38">
    <w:name w:val="批注文字 Char"/>
    <w:basedOn w:val="25"/>
    <w:link w:val="9"/>
    <w:qFormat/>
    <w:uiPriority w:val="0"/>
    <w:rPr>
      <w:rFonts w:ascii="宋体" w:hAnsi="宋体" w:eastAsia="仿宋" w:cs="宋体"/>
      <w:kern w:val="0"/>
      <w:sz w:val="32"/>
      <w:lang w:val="zh-CN" w:bidi="zh-CN"/>
    </w:rPr>
  </w:style>
  <w:style w:type="character" w:customStyle="1" w:styleId="39">
    <w:name w:val="批注主题 Char"/>
    <w:basedOn w:val="38"/>
    <w:link w:val="21"/>
    <w:qFormat/>
    <w:uiPriority w:val="0"/>
    <w:rPr>
      <w:rFonts w:ascii="宋体" w:hAnsi="宋体" w:eastAsia="仿宋" w:cs="宋体"/>
      <w:b/>
      <w:bCs/>
      <w:kern w:val="0"/>
      <w:sz w:val="32"/>
      <w:lang w:val="zh-CN" w:bidi="zh-CN"/>
    </w:rPr>
  </w:style>
  <w:style w:type="character" w:customStyle="1" w:styleId="40">
    <w:name w:val="正文文本 Char"/>
    <w:basedOn w:val="25"/>
    <w:link w:val="10"/>
    <w:qFormat/>
    <w:uiPriority w:val="1"/>
    <w:rPr>
      <w:rFonts w:ascii="宋体" w:hAnsi="宋体" w:eastAsia="仿宋" w:cs="宋体"/>
      <w:kern w:val="0"/>
      <w:sz w:val="28"/>
      <w:szCs w:val="28"/>
      <w:lang w:val="zh-CN" w:bidi="zh-CN"/>
    </w:rPr>
  </w:style>
  <w:style w:type="character" w:customStyle="1" w:styleId="41">
    <w:name w:val="正文文本缩进 Char"/>
    <w:basedOn w:val="25"/>
    <w:link w:val="11"/>
    <w:qFormat/>
    <w:uiPriority w:val="0"/>
    <w:rPr>
      <w:rFonts w:ascii="宋体" w:hAnsi="宋体" w:eastAsia="仿宋_GB2312" w:cs="宋体"/>
      <w:b/>
      <w:bCs/>
      <w:kern w:val="0"/>
      <w:sz w:val="44"/>
      <w:szCs w:val="44"/>
      <w:lang w:val="zh-CN" w:bidi="zh-CN"/>
    </w:rPr>
  </w:style>
  <w:style w:type="character" w:customStyle="1" w:styleId="42">
    <w:name w:val="日期 Char"/>
    <w:basedOn w:val="25"/>
    <w:link w:val="13"/>
    <w:qFormat/>
    <w:uiPriority w:val="0"/>
    <w:rPr>
      <w:rFonts w:ascii="宋体" w:hAnsi="宋体" w:eastAsia="仿宋" w:cs="宋体"/>
      <w:kern w:val="0"/>
      <w:sz w:val="32"/>
      <w:lang w:val="zh-CN" w:bidi="zh-CN"/>
    </w:rPr>
  </w:style>
  <w:style w:type="character" w:customStyle="1" w:styleId="43">
    <w:name w:val="批注框文本 Char"/>
    <w:basedOn w:val="25"/>
    <w:link w:val="14"/>
    <w:qFormat/>
    <w:uiPriority w:val="0"/>
    <w:rPr>
      <w:rFonts w:ascii="宋体" w:hAnsi="宋体" w:eastAsia="仿宋" w:cs="宋体"/>
      <w:kern w:val="0"/>
      <w:sz w:val="18"/>
      <w:szCs w:val="18"/>
      <w:lang w:val="zh-CN" w:bidi="zh-CN"/>
    </w:rPr>
  </w:style>
  <w:style w:type="character" w:customStyle="1" w:styleId="44">
    <w:name w:val="正文首行缩进 2 Char"/>
    <w:basedOn w:val="41"/>
    <w:link w:val="22"/>
    <w:qFormat/>
    <w:uiPriority w:val="0"/>
    <w:rPr>
      <w:rFonts w:ascii="宋体" w:hAnsi="宋体" w:eastAsia="宋体" w:cs="宋体"/>
      <w:kern w:val="0"/>
      <w:sz w:val="24"/>
      <w:szCs w:val="44"/>
      <w:lang w:val="zh-CN" w:bidi="zh-CN"/>
    </w:rPr>
  </w:style>
  <w:style w:type="character" w:customStyle="1" w:styleId="45">
    <w:name w:val="脚注文本 Char"/>
    <w:basedOn w:val="25"/>
    <w:link w:val="18"/>
    <w:qFormat/>
    <w:uiPriority w:val="99"/>
    <w:rPr>
      <w:rFonts w:ascii="宋体" w:hAnsi="宋体" w:eastAsia="仿宋" w:cs="宋体"/>
      <w:kern w:val="0"/>
      <w:sz w:val="18"/>
      <w:szCs w:val="18"/>
      <w:lang w:val="zh-CN" w:bidi="zh-CN"/>
    </w:rPr>
  </w:style>
  <w:style w:type="table" w:customStyle="1" w:styleId="46">
    <w:name w:val="Table Normal"/>
    <w:unhideWhenUsed/>
    <w:qFormat/>
    <w:uiPriority w:val="2"/>
    <w:rPr>
      <w:kern w:val="0"/>
      <w:sz w:val="20"/>
      <w:szCs w:val="20"/>
    </w:rPr>
    <w:tblPr>
      <w:tblCellMar>
        <w:top w:w="0" w:type="dxa"/>
        <w:left w:w="0" w:type="dxa"/>
        <w:bottom w:w="0" w:type="dxa"/>
        <w:right w:w="0" w:type="dxa"/>
      </w:tblCellMar>
    </w:tblPr>
  </w:style>
  <w:style w:type="paragraph" w:customStyle="1" w:styleId="47">
    <w:name w:val="列出段落1"/>
    <w:basedOn w:val="1"/>
    <w:qFormat/>
    <w:uiPriority w:val="1"/>
  </w:style>
  <w:style w:type="paragraph" w:customStyle="1" w:styleId="48">
    <w:name w:val="Table Paragraph"/>
    <w:basedOn w:val="1"/>
    <w:qFormat/>
    <w:uiPriority w:val="1"/>
  </w:style>
  <w:style w:type="character" w:customStyle="1" w:styleId="49">
    <w:name w:val="bjh-p"/>
    <w:basedOn w:val="25"/>
    <w:qFormat/>
    <w:uiPriority w:val="0"/>
  </w:style>
  <w:style w:type="paragraph" w:customStyle="1" w:styleId="50">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customStyle="1" w:styleId="51">
    <w:name w:val="one-p"/>
    <w:basedOn w:val="1"/>
    <w:qFormat/>
    <w:uiPriority w:val="0"/>
    <w:pPr>
      <w:widowControl/>
      <w:autoSpaceDE/>
      <w:autoSpaceDN/>
      <w:spacing w:before="100" w:beforeAutospacing="1" w:after="100" w:afterAutospacing="1"/>
    </w:pPr>
    <w:rPr>
      <w:sz w:val="24"/>
      <w:szCs w:val="24"/>
      <w:lang w:val="en-US" w:bidi="ar-SA"/>
    </w:rPr>
  </w:style>
  <w:style w:type="character" w:customStyle="1" w:styleId="52">
    <w:name w:val="bjh-h3"/>
    <w:basedOn w:val="25"/>
    <w:qFormat/>
    <w:uiPriority w:val="0"/>
  </w:style>
  <w:style w:type="paragraph" w:customStyle="1" w:styleId="53">
    <w:name w:val="text_align-center"/>
    <w:basedOn w:val="1"/>
    <w:qFormat/>
    <w:uiPriority w:val="0"/>
    <w:pPr>
      <w:widowControl/>
      <w:autoSpaceDE/>
      <w:autoSpaceDN/>
      <w:spacing w:before="100" w:beforeAutospacing="1" w:after="100" w:afterAutospacing="1"/>
    </w:pPr>
    <w:rPr>
      <w:sz w:val="24"/>
      <w:szCs w:val="24"/>
      <w:lang w:val="en-US" w:bidi="ar-SA"/>
    </w:rPr>
  </w:style>
  <w:style w:type="table" w:customStyle="1" w:styleId="54">
    <w:name w:val="网格型1"/>
    <w:basedOn w:val="2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NormalCharacter"/>
    <w:semiHidden/>
    <w:qFormat/>
    <w:uiPriority w:val="0"/>
    <w:rPr>
      <w:rFonts w:ascii="Calibri" w:hAnsi="Calibri" w:eastAsia="宋体" w:cs="Times New Roman"/>
      <w:kern w:val="2"/>
      <w:sz w:val="21"/>
      <w:szCs w:val="24"/>
      <w:lang w:val="en-US" w:eastAsia="zh-CN" w:bidi="ar-SA"/>
    </w:rPr>
  </w:style>
  <w:style w:type="character" w:customStyle="1" w:styleId="56">
    <w:name w:val="fontstyle41"/>
    <w:qFormat/>
    <w:uiPriority w:val="0"/>
    <w:rPr>
      <w:rFonts w:ascii="仿宋" w:hAnsi="仿宋" w:eastAsia="仿宋" w:cs="仿宋"/>
      <w:color w:val="000000"/>
      <w:sz w:val="32"/>
      <w:szCs w:val="32"/>
    </w:rPr>
  </w:style>
  <w:style w:type="paragraph" w:customStyle="1" w:styleId="57">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59">
    <w:name w:val="WPSOffice手动目录 3"/>
    <w:qFormat/>
    <w:uiPriority w:val="0"/>
    <w:pPr>
      <w:ind w:left="400" w:leftChars="400"/>
    </w:pPr>
    <w:rPr>
      <w:rFonts w:asciiTheme="minorHAnsi" w:hAnsiTheme="minorHAnsi" w:eastAsiaTheme="minorEastAsia" w:cstheme="minorBidi"/>
      <w:kern w:val="0"/>
      <w:sz w:val="20"/>
      <w:szCs w:val="20"/>
      <w:lang w:val="en-US" w:eastAsia="zh-CN" w:bidi="ar-SA"/>
    </w:rPr>
  </w:style>
  <w:style w:type="paragraph" w:customStyle="1" w:styleId="60">
    <w:name w:val="表格文字"/>
    <w:next w:val="1"/>
    <w:link w:val="61"/>
    <w:qFormat/>
    <w:uiPriority w:val="0"/>
    <w:pPr>
      <w:spacing w:line="360" w:lineRule="auto"/>
    </w:pPr>
    <w:rPr>
      <w:rFonts w:ascii="Calibri" w:hAnsi="Calibri" w:eastAsia="仿宋" w:cstheme="minorBidi"/>
      <w:kern w:val="0"/>
      <w:sz w:val="24"/>
      <w:szCs w:val="20"/>
      <w:lang w:val="en-US" w:eastAsia="zh-CN" w:bidi="ar-SA"/>
    </w:rPr>
  </w:style>
  <w:style w:type="character" w:customStyle="1" w:styleId="61">
    <w:name w:val="表格文字 Char"/>
    <w:link w:val="60"/>
    <w:qFormat/>
    <w:uiPriority w:val="0"/>
    <w:rPr>
      <w:rFonts w:ascii="Calibri" w:hAnsi="Calibri" w:eastAsia="仿宋"/>
      <w:kern w:val="0"/>
      <w:sz w:val="24"/>
      <w:szCs w:val="20"/>
    </w:rPr>
  </w:style>
  <w:style w:type="paragraph" w:customStyle="1" w:styleId="62">
    <w:name w:val="列出段落2"/>
    <w:basedOn w:val="1"/>
    <w:unhideWhenUsed/>
    <w:qFormat/>
    <w:uiPriority w:val="99"/>
    <w:pPr>
      <w:ind w:firstLine="420"/>
    </w:pPr>
  </w:style>
  <w:style w:type="paragraph" w:customStyle="1" w:styleId="63">
    <w:name w:val="1.正文"/>
    <w:basedOn w:val="1"/>
    <w:qFormat/>
    <w:uiPriority w:val="0"/>
    <w:pPr>
      <w:autoSpaceDE/>
      <w:autoSpaceDN/>
      <w:spacing w:line="240" w:lineRule="auto"/>
      <w:ind w:firstLine="880"/>
    </w:pPr>
    <w:rPr>
      <w:rFonts w:ascii="仿宋_GB2312" w:hAnsi="仿宋_GB2312" w:eastAsia="仿宋_GB2312" w:cs="Times New Roman"/>
      <w:kern w:val="2"/>
      <w:sz w:val="21"/>
      <w:lang w:val="en-US" w:bidi="ar-SA"/>
    </w:rPr>
  </w:style>
  <w:style w:type="character" w:customStyle="1" w:styleId="64">
    <w:name w:val="标题 3 字符"/>
    <w:basedOn w:val="25"/>
    <w:qFormat/>
    <w:uiPriority w:val="1"/>
    <w:rPr>
      <w:rFonts w:ascii="Microsoft JhengHei" w:hAnsi="Microsoft JhengHei" w:eastAsia="楷体" w:cs="Microsoft JhengHei"/>
      <w:b/>
      <w:bCs/>
      <w:sz w:val="32"/>
      <w:szCs w:val="3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120</Pages>
  <Words>16586</Words>
  <Characters>17222</Characters>
  <Lines>523</Lines>
  <Paragraphs>147</Paragraphs>
  <TotalTime>3</TotalTime>
  <ScaleCrop>false</ScaleCrop>
  <LinksUpToDate>false</LinksUpToDate>
  <CharactersWithSpaces>17488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2022-11-04T01:48:00Z</dcterms:created>
  <dc:creator>达拉特旗政务公开工作领导小组(拟稿)</dc:creator>
  <cp:lastModifiedBy>政务公开室</cp:lastModifiedBy>
  <dcterms:modified xsi:type="dcterms:W3CDTF">2026-02-09T03:42:25Z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eyJoZGlkIjoiZTcyOWY2ZjkyOWE1N2RmYmNlYmJhODY3YTA0NTE0NzQiLCJ1c2VySWQiOiIyNDc1MjUzMDgifQ==</vt:lpwstr>
  </property>
  <property fmtid="{D5CDD505-2E9C-101B-9397-08002B2CF9AE}" pid="3" name="KSOProductBuildVer">
    <vt:lpwstr>2052-12.1.0.24657</vt:lpwstr>
  </property>
  <property fmtid="{D5CDD505-2E9C-101B-9397-08002B2CF9AE}" pid="4" name="ICV">
    <vt:lpwstr>5E201368712A4E738D590692B9204A93_12</vt:lpwstr>
  </property>
</Properties>
</file>