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E69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t>《达拉特旗电动汽车充换电基础设施建设运营管理办法》解读</w:t>
      </w:r>
    </w:p>
    <w:p w14:paraId="7ABAB4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p>
    <w:p w14:paraId="61F5A1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达拉特旗</w:t>
      </w:r>
      <w:r>
        <w:rPr>
          <w:rFonts w:hint="eastAsia" w:ascii="仿宋_GB2312" w:hAnsi="仿宋_GB2312" w:eastAsia="仿宋_GB2312" w:cs="仿宋_GB2312"/>
          <w:b w:val="0"/>
          <w:bCs w:val="0"/>
          <w:sz w:val="32"/>
          <w:szCs w:val="32"/>
          <w:lang w:val="en-US" w:eastAsia="zh-CN"/>
        </w:rPr>
        <w:t>能源局牵头制定了</w:t>
      </w:r>
      <w:r>
        <w:rPr>
          <w:rFonts w:hint="eastAsia" w:ascii="仿宋_GB2312" w:hAnsi="仿宋_GB2312" w:eastAsia="仿宋_GB2312" w:cs="仿宋_GB2312"/>
          <w:b w:val="0"/>
          <w:bCs w:val="0"/>
          <w:sz w:val="32"/>
          <w:szCs w:val="32"/>
          <w:lang w:val="en-US" w:eastAsia="zh-CN"/>
        </w:rPr>
        <w:t>《达拉特旗电动汽车充换电基础设施建设运营管理办法》（以下简称《管理办法》），现就《管理办法》的出台背景、主要内容等解读如下：</w:t>
      </w:r>
    </w:p>
    <w:p w14:paraId="3650B1D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一、制定背景</w:t>
      </w:r>
    </w:p>
    <w:p w14:paraId="501430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加快构建高质量电动汽车充换电基础设施体系，规范我旗电动汽车充换电基础设施规划布局、投资建设、运营维护与监督管理，健全充换电服务网络，保障设施安全稳定运行，更好支撑新能源汽车推广应用，助力绿色低碳发展，保证电动汽车充换电设施安全高效运营，支撑新能源汽车产业发展和乡村振兴。</w:t>
      </w:r>
    </w:p>
    <w:p w14:paraId="1308F30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二、制定依据</w:t>
      </w:r>
    </w:p>
    <w:p w14:paraId="5792B84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主要依据</w:t>
      </w:r>
      <w:r>
        <w:rPr>
          <w:rFonts w:hint="eastAsia" w:ascii="仿宋_GB2312" w:hAnsi="仿宋_GB2312" w:eastAsia="仿宋_GB2312" w:cs="仿宋_GB2312"/>
          <w:b w:val="0"/>
          <w:bCs w:val="0"/>
          <w:sz w:val="32"/>
          <w:szCs w:val="32"/>
          <w:lang w:val="en-US" w:eastAsia="zh-CN"/>
        </w:rPr>
        <w:t>包括：《国务院办公厅关于进一步构建高质量充电基础设施体系的指导意见》（国办发〔2023〕19号）、《国家发展改革委等部门关于进一步提升电动汽车充换电基础设施服务保障能力的实施意见》（发改能源规〔2022〕53号）、《内蒙古自治区电动汽车充电基础设施建设运营管理办法》（内能源发〔2026〕16号）。</w:t>
      </w:r>
      <w:r>
        <w:rPr>
          <w:rFonts w:hint="eastAsia" w:ascii="仿宋_GB2312" w:hAnsi="仿宋_GB2312" w:eastAsia="仿宋_GB2312" w:cs="仿宋_GB2312"/>
          <w:b w:val="0"/>
          <w:bCs w:val="0"/>
          <w:sz w:val="32"/>
          <w:szCs w:val="32"/>
          <w:lang w:val="en-US" w:eastAsia="zh-CN"/>
        </w:rPr>
        <w:t>结合达拉特旗实际，达拉特旗能源局编制形成《管理办法》，上报达拉特旗人民政府审定</w:t>
      </w:r>
      <w:r>
        <w:rPr>
          <w:rFonts w:hint="eastAsia" w:ascii="仿宋_GB2312" w:hAnsi="仿宋_GB2312" w:eastAsia="仿宋_GB2312" w:cs="仿宋_GB2312"/>
          <w:b w:val="0"/>
          <w:bCs w:val="0"/>
          <w:sz w:val="32"/>
          <w:szCs w:val="32"/>
          <w:lang w:val="en-US" w:eastAsia="zh-CN"/>
        </w:rPr>
        <w:t>后</w:t>
      </w:r>
      <w:r>
        <w:rPr>
          <w:rFonts w:hint="eastAsia" w:ascii="仿宋_GB2312" w:hAnsi="仿宋_GB2312" w:eastAsia="仿宋_GB2312" w:cs="仿宋_GB2312"/>
          <w:b w:val="0"/>
          <w:bCs w:val="0"/>
          <w:sz w:val="32"/>
          <w:szCs w:val="32"/>
          <w:lang w:val="en-US" w:eastAsia="zh-CN"/>
        </w:rPr>
        <w:t>印发。</w:t>
      </w:r>
    </w:p>
    <w:p w14:paraId="06D065B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三、《管理办法》主要内容</w:t>
      </w:r>
    </w:p>
    <w:p w14:paraId="65B01638">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（一）明确适用的充电设施包括三类</w:t>
      </w:r>
    </w:p>
    <w:p w14:paraId="155872A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b w:val="0"/>
          <w:bCs w:val="0"/>
          <w:spacing w:val="16"/>
          <w:sz w:val="32"/>
          <w:szCs w:val="32"/>
          <w:lang w:eastAsia="zh-CN"/>
        </w:rPr>
      </w:pPr>
      <w:r>
        <w:rPr>
          <w:rFonts w:hint="eastAsia" w:ascii="仿宋_GB2312" w:hAnsi="仿宋_GB2312" w:eastAsia="仿宋_GB2312" w:cs="仿宋_GB2312"/>
          <w:b w:val="0"/>
          <w:bCs w:val="0"/>
          <w:sz w:val="32"/>
          <w:szCs w:val="32"/>
          <w:lang w:val="en-US" w:eastAsia="zh-CN"/>
        </w:rPr>
        <w:t>1、自用充电设施，指在个人拥有所有权或使用权的专用固定停车位上建设的，专为个人电动汽车提供充电服务的充电基础设施</w:t>
      </w:r>
      <w:r>
        <w:rPr>
          <w:rFonts w:hint="eastAsia" w:ascii="仿宋_GB2312" w:hAnsi="仿宋_GB2312" w:eastAsia="仿宋_GB2312" w:cs="仿宋_GB2312"/>
          <w:b w:val="0"/>
          <w:bCs w:val="0"/>
          <w:spacing w:val="16"/>
          <w:sz w:val="32"/>
          <w:szCs w:val="32"/>
          <w:lang w:eastAsia="zh-CN"/>
        </w:rPr>
        <w:t>。</w:t>
      </w:r>
    </w:p>
    <w:p w14:paraId="51B4E2E7">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公用充换电设施，指在规划的独立地块、社会公共停车场、住宅小区公共停车场、商业建筑物配建停车场、加油（气）站、高速公路服务区等区域规划建设，为非特定新能源汽车提供充（换）电服务的经营性充（换）电基础设施。</w:t>
      </w:r>
    </w:p>
    <w:p w14:paraId="33B35C29">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专用充（换）电基础设施，指在党政机关、企（事）业单位、社会团体、工业园区、矿区、运煤线路等专属场景，为公务车辆、企业员工车辆、矿卡、重卡等提供专属充（换）电服务的充（换）电基础设施，以及在公交车、客运汽车、环卫、物流园区等专用车站场所，为专用车辆提供专属充（换）电服务的充（换）电基础设施</w:t>
      </w:r>
      <w:r>
        <w:rPr>
          <w:rFonts w:hint="eastAsia" w:ascii="仿宋_GB2312" w:hAnsi="仿宋_GB2312" w:eastAsia="仿宋_GB2312" w:cs="仿宋_GB2312"/>
          <w:b w:val="0"/>
          <w:bCs w:val="0"/>
          <w:color w:val="auto"/>
          <w:sz w:val="32"/>
          <w:szCs w:val="32"/>
          <w:lang w:val="en-US" w:eastAsia="zh-CN"/>
        </w:rPr>
        <w:t>。</w:t>
      </w:r>
    </w:p>
    <w:p w14:paraId="59D4858C">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（二）明确规划管理</w:t>
      </w:r>
    </w:p>
    <w:p w14:paraId="61EC93B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按照"科学布局、适度超前、创新融合、安全便捷"的原则，全面核查现有设施保有总量、覆盖范围、承载能力及供需匹配情况</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sz w:val="32"/>
          <w:szCs w:val="32"/>
          <w:lang w:val="en-US" w:eastAsia="zh-CN"/>
        </w:rPr>
        <w:t>以城市道路交通网络为依托，推动城市充换电网络从中心城区向城区边缘、从优先发展区域向其他区域有序延伸</w:t>
      </w:r>
      <w:r>
        <w:rPr>
          <w:rFonts w:hint="eastAsia" w:ascii="仿宋_GB2312" w:hAnsi="仿宋_GB2312" w:eastAsia="仿宋_GB2312" w:cs="仿宋_GB2312"/>
          <w:b w:val="0"/>
          <w:bCs w:val="0"/>
          <w:color w:val="auto"/>
          <w:sz w:val="32"/>
          <w:szCs w:val="32"/>
          <w:lang w:val="en-US" w:eastAsia="zh-CN"/>
        </w:rPr>
        <w:t>。</w:t>
      </w:r>
    </w:p>
    <w:p w14:paraId="7F7213FD">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（三）明确建设管理</w:t>
      </w:r>
    </w:p>
    <w:p w14:paraId="1FE9C8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鼓励各类社会资本积极参与，促进投资多元化</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报装准备材料及流程参照《关于加快居民区电动汽车充电基础设施建设的通知》(发改能源〔2016〕1611号)（附件1）等相关规定执行。充换电设备需符合充电设备、接口、安全、通信协议等国家标准或行业标准。</w:t>
      </w:r>
    </w:p>
    <w:p w14:paraId="106935C0">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（四）明确验收与平台接入</w:t>
      </w:r>
    </w:p>
    <w:p w14:paraId="727C0E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用和专用充（换）电基础设施竣工验收分本体部分验收和平台接入验收，相关验收标准依照《内蒙古自治区电动汽车充电基础设施建设运营管理办法》（内能源发〔2026〕16号）文件执行。自治区充电设施监测服务平台按照"应接必接、即建即接、送电必接"的原则，全面开展已建成投运、新建和改扩建的充（换）电基础设施数据接入工作。</w:t>
      </w:r>
    </w:p>
    <w:p w14:paraId="779D139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（五）明确运营管理</w:t>
      </w:r>
    </w:p>
    <w:p w14:paraId="40BB6860">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鼓励各类投资者将充换电设施委托给充电设施运营企业统一管理，公用、专用充换电设施开发企业可与充换电设施运营企业合作，形成优势互补、收益共享的合作模式。</w:t>
      </w:r>
    </w:p>
    <w:p w14:paraId="7652DD23">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（六）明确安全监管</w:t>
      </w:r>
    </w:p>
    <w:p w14:paraId="0D0E9C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充（换）电设施建设运营企业应严格按照国家标准规定开展充（换）电站选址、设计、建设和消防设施布置，充（换）电设施建设单位对施工安全负责，选用符合国家强制性认证的充电设备。</w:t>
      </w:r>
    </w:p>
    <w:p w14:paraId="75DE3394">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（七）明确保障机制</w:t>
      </w:r>
    </w:p>
    <w:p w14:paraId="152FDD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鼓励停车充电一体化等模式创新，实现停车和充电数据信息互联互通，落实充电车辆停车优惠等惠民措施。</w:t>
      </w:r>
    </w:p>
    <w:p w14:paraId="4C795C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本办法由达拉特旗人民政府负责解释，实施过程中的具体问题由旗能源局负责解释</w:t>
      </w:r>
      <w:bookmarkStart w:id="0" w:name="_GoBack"/>
      <w:bookmarkEnd w:id="0"/>
      <w:r>
        <w:rPr>
          <w:rFonts w:hint="eastAsia" w:ascii="仿宋_GB2312" w:hAnsi="仿宋_GB2312" w:eastAsia="仿宋_GB2312" w:cs="仿宋_GB2312"/>
          <w:b w:val="0"/>
          <w:bCs w:val="0"/>
          <w:sz w:val="32"/>
          <w:szCs w:val="32"/>
          <w:lang w:val="en-US" w:eastAsia="zh-CN"/>
        </w:rPr>
        <w:t>。本办法自发布之日起施行，有效期两年。本办法施行后，国家、自治区、市另有规定的，从其规定。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KSOFE67E5C00">
    <w:panose1 w:val="02010609060101010101"/>
    <w:charset w:val="86"/>
    <w:family w:val="auto"/>
    <w:pitch w:val="default"/>
    <w:sig w:usb0="00000001" w:usb1="00000000" w:usb2="00000000" w:usb3="00000000" w:csb0="00040001" w:csb1="00000000"/>
  </w:font>
  <w:font w:name="KSOFE67ED05F">
    <w:panose1 w:val="02010609060101010101"/>
    <w:charset w:val="86"/>
    <w:family w:val="auto"/>
    <w:pitch w:val="default"/>
    <w:sig w:usb0="00000001"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wMDRiMjdjMjNhOGU3OTIwY2I4NTE1M2FhMjIwNTgifQ=="/>
  </w:docVars>
  <w:rsids>
    <w:rsidRoot w:val="6C882C7A"/>
    <w:rsid w:val="0FAD322A"/>
    <w:rsid w:val="11282CFE"/>
    <w:rsid w:val="137361BF"/>
    <w:rsid w:val="19D40A68"/>
    <w:rsid w:val="1DE403EF"/>
    <w:rsid w:val="258129BE"/>
    <w:rsid w:val="2C412EA7"/>
    <w:rsid w:val="2D0637A8"/>
    <w:rsid w:val="31F6028F"/>
    <w:rsid w:val="34DA5C46"/>
    <w:rsid w:val="3FC07F6A"/>
    <w:rsid w:val="42364826"/>
    <w:rsid w:val="44AC158F"/>
    <w:rsid w:val="4787470B"/>
    <w:rsid w:val="4A85516D"/>
    <w:rsid w:val="4F863785"/>
    <w:rsid w:val="52F21F55"/>
    <w:rsid w:val="57D605E8"/>
    <w:rsid w:val="5C6B7664"/>
    <w:rsid w:val="605E7BE0"/>
    <w:rsid w:val="6C882C7A"/>
    <w:rsid w:val="73D72D76"/>
    <w:rsid w:val="75FB3364"/>
    <w:rsid w:val="789D27E0"/>
    <w:rsid w:val="79440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next w:val="2"/>
    <w:qFormat/>
    <w:uiPriority w:val="0"/>
    <w:pPr>
      <w:ind w:firstLine="640" w:firstLineChars="200"/>
    </w:pPr>
    <w:rPr>
      <w:snapToGrid w:val="0"/>
      <w:kern w:val="0"/>
      <w:szCs w:val="24"/>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1"/>
    <w:qFormat/>
    <w:uiPriority w:val="0"/>
    <w:pPr>
      <w:ind w:firstLine="420" w:firstLineChars="100"/>
    </w:pPr>
    <w:rPr>
      <w:rFonts w:hint="eastAsia" w:ascii="Times New Roman" w:hAnsi="Times New Roman" w:eastAsia="宋体" w:cs="Times New Roman"/>
    </w:rPr>
  </w:style>
  <w:style w:type="paragraph" w:styleId="6">
    <w:name w:val="Body Text First Indent 2"/>
    <w:basedOn w:val="3"/>
    <w:qFormat/>
    <w:uiPriority w:val="0"/>
    <w:pPr>
      <w:spacing w:after="0" w:afterLines="0"/>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1363</Words>
  <Characters>1408</Characters>
  <Lines>0</Lines>
  <Paragraphs>0</Paragraphs>
  <TotalTime>1</TotalTime>
  <ScaleCrop>false</ScaleCrop>
  <LinksUpToDate>false</LinksUpToDate>
  <CharactersWithSpaces>1419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2023-09-25T08:17:00Z</dcterms:created>
  <dc:creator>WPS_1601454805</dc:creator>
  <cp:lastModifiedBy>YY.</cp:lastModifiedBy>
  <cp:lastPrinted>2026-10-19T02:59:47Z</cp:lastPrinted>
  <dcterms:modified xsi:type="dcterms:W3CDTF">2026-10-19T03:17:47Z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EFF72FA0E2E444B082D0E9B307EF9F3B_13</vt:lpwstr>
  </property>
  <property fmtid="{D5CDD505-2E9C-101B-9397-08002B2CF9AE}" pid="4" name="KSOTemplateDocerSaveRecord">
    <vt:lpwstr>eyJoZGlkIjoiYWVmM2Q0NmU5MGUwOGI1NTgyN2ZiZDM0ZTgwOGU5MWQiLCJ1c2VySWQiOiIzMjYzMjc3MjMifQ==</vt:lpwstr>
  </property>
</Properties>
</file>