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3481A5">
      <w:pPr>
        <w:spacing w:line="600" w:lineRule="exact"/>
        <w:jc w:val="center"/>
        <w:rPr>
          <w:rFonts w:ascii="方正小标宋简体" w:eastAsia="方正小标宋简体"/>
          <w:sz w:val="44"/>
          <w:szCs w:val="44"/>
        </w:rPr>
      </w:pPr>
    </w:p>
    <w:p w14:paraId="0DCB357C">
      <w:pPr>
        <w:spacing w:line="600" w:lineRule="exact"/>
        <w:jc w:val="center"/>
        <w:rPr>
          <w:rFonts w:ascii="方正小标宋简体" w:eastAsia="方正小标宋简体"/>
          <w:sz w:val="44"/>
          <w:szCs w:val="44"/>
        </w:rPr>
      </w:pPr>
    </w:p>
    <w:p w14:paraId="59B01F5F">
      <w:pPr>
        <w:spacing w:line="600" w:lineRule="exact"/>
        <w:rPr>
          <w:rFonts w:ascii="方正小标宋简体" w:eastAsia="方正小标宋简体"/>
          <w:sz w:val="44"/>
          <w:szCs w:val="44"/>
        </w:rPr>
      </w:pPr>
    </w:p>
    <w:p w14:paraId="6EAAC40A">
      <w:pPr>
        <w:jc w:val="right"/>
        <w:rPr>
          <w:rFonts w:hint="eastAsia" w:ascii="仿宋" w:hAnsi="仿宋" w:eastAsia="仿宋" w:cs="仿宋"/>
          <w:sz w:val="32"/>
          <w:szCs w:val="32"/>
        </w:rPr>
      </w:pPr>
      <w:bookmarkStart w:id="0" w:name="OLE_LINK1"/>
    </w:p>
    <w:p w14:paraId="60D65BB8">
      <w:pPr>
        <w:jc w:val="right"/>
        <w:rPr>
          <w:rFonts w:hint="eastAsia" w:ascii="仿宋" w:hAnsi="仿宋" w:eastAsia="仿宋" w:cs="仿宋"/>
          <w:sz w:val="32"/>
          <w:szCs w:val="32"/>
        </w:rPr>
      </w:pPr>
    </w:p>
    <w:p w14:paraId="0058B283">
      <w:pPr>
        <w:jc w:val="right"/>
        <w:rPr>
          <w:rFonts w:hint="eastAsia" w:ascii="仿宋" w:hAnsi="仿宋" w:eastAsia="仿宋" w:cs="仿宋"/>
          <w:sz w:val="32"/>
          <w:szCs w:val="32"/>
        </w:rPr>
      </w:pPr>
    </w:p>
    <w:p w14:paraId="4F8B2C4D">
      <w:pPr>
        <w:jc w:val="right"/>
        <w:rPr>
          <w:rFonts w:hint="eastAsia" w:ascii="仿宋" w:hAnsi="仿宋" w:eastAsia="仿宋" w:cs="仿宋"/>
          <w:sz w:val="32"/>
          <w:szCs w:val="32"/>
        </w:rPr>
      </w:pPr>
    </w:p>
    <w:p w14:paraId="63DBF647">
      <w:pPr>
        <w:jc w:val="right"/>
        <w:rPr>
          <w:rFonts w:hint="eastAsia" w:ascii="仿宋" w:hAnsi="仿宋" w:eastAsia="仿宋" w:cs="仿宋"/>
          <w:sz w:val="32"/>
          <w:szCs w:val="32"/>
        </w:rPr>
      </w:pPr>
    </w:p>
    <w:p w14:paraId="622CACD5">
      <w:pPr>
        <w:jc w:val="right"/>
        <w:rPr>
          <w:rFonts w:hint="eastAsia" w:ascii="仿宋" w:hAnsi="仿宋" w:eastAsia="仿宋" w:cs="仿宋"/>
          <w:sz w:val="32"/>
          <w:szCs w:val="32"/>
        </w:rPr>
      </w:pPr>
    </w:p>
    <w:p w14:paraId="65161243">
      <w:pPr>
        <w:rPr>
          <w:rFonts w:hint="eastAsia"/>
          <w:sz w:val="13"/>
          <w:szCs w:val="13"/>
        </w:rPr>
      </w:pPr>
    </w:p>
    <w:p w14:paraId="75CD7096">
      <w:pPr>
        <w:jc w:val="cente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达水</w:t>
      </w:r>
      <w:r>
        <w:rPr>
          <w:rFonts w:hint="default" w:ascii="Times New Roman" w:hAnsi="Times New Roman" w:eastAsia="仿宋" w:cs="Times New Roman"/>
          <w:sz w:val="32"/>
          <w:szCs w:val="32"/>
          <w:lang w:val="en-US" w:eastAsia="zh-CN"/>
        </w:rPr>
        <w:t>审批发</w:t>
      </w:r>
      <w:r>
        <w:rPr>
          <w:rFonts w:hint="default" w:ascii="Times New Roman" w:hAnsi="Times New Roman" w:eastAsia="仿宋" w:cs="Times New Roman"/>
          <w:sz w:val="32"/>
          <w:szCs w:val="32"/>
        </w:rPr>
        <w:t>〔202</w:t>
      </w:r>
      <w:r>
        <w:rPr>
          <w:rFonts w:hint="eastAsia" w:ascii="Times New Roman" w:hAnsi="Times New Roman" w:eastAsia="仿宋" w:cs="Times New Roman"/>
          <w:sz w:val="32"/>
          <w:szCs w:val="32"/>
          <w:lang w:val="en-US" w:eastAsia="zh-CN"/>
        </w:rPr>
        <w:t>6</w:t>
      </w:r>
      <w:r>
        <w:rPr>
          <w:rFonts w:hint="default" w:ascii="Times New Roman" w:hAnsi="Times New Roman" w:eastAsia="仿宋" w:cs="Times New Roman"/>
          <w:sz w:val="32"/>
          <w:szCs w:val="32"/>
        </w:rPr>
        <w:t>〕</w:t>
      </w:r>
      <w:r>
        <w:rPr>
          <w:rFonts w:hint="eastAsia" w:ascii="Times New Roman" w:hAnsi="Times New Roman" w:eastAsia="仿宋" w:cs="Times New Roman"/>
          <w:sz w:val="32"/>
          <w:szCs w:val="32"/>
          <w:lang w:val="en-US" w:eastAsia="zh-CN"/>
        </w:rPr>
        <w:t>66</w:t>
      </w:r>
      <w:r>
        <w:rPr>
          <w:rFonts w:hint="default" w:ascii="Times New Roman" w:hAnsi="Times New Roman" w:eastAsia="仿宋" w:cs="Times New Roman"/>
          <w:sz w:val="32"/>
          <w:szCs w:val="32"/>
        </w:rPr>
        <w:t>号</w:t>
      </w:r>
      <w:bookmarkEnd w:id="0"/>
    </w:p>
    <w:p w14:paraId="37AAF4F8">
      <w:pPr>
        <w:pStyle w:val="17"/>
        <w:rPr>
          <w:rFonts w:hint="default"/>
          <w:lang w:val="en-US" w:eastAsia="zh-CN"/>
        </w:rPr>
      </w:pPr>
    </w:p>
    <w:p w14:paraId="54266C99">
      <w:pPr>
        <w:pStyle w:val="17"/>
        <w:ind w:left="0" w:leftChars="0" w:firstLine="0" w:firstLineChars="0"/>
        <w:rPr>
          <w:rFonts w:hint="default"/>
          <w:sz w:val="13"/>
          <w:szCs w:val="13"/>
          <w:lang w:val="en-US" w:eastAsia="zh-CN"/>
        </w:rPr>
      </w:pPr>
    </w:p>
    <w:p w14:paraId="6AC5202B">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b w:val="0"/>
          <w:bCs w:val="0"/>
          <w:color w:val="auto"/>
          <w:sz w:val="44"/>
          <w:szCs w:val="44"/>
          <w:lang w:val="en-US" w:eastAsia="zh-CN"/>
        </w:rPr>
      </w:pPr>
      <w:r>
        <w:rPr>
          <w:rFonts w:hint="eastAsia" w:ascii="Times New Roman" w:hAnsi="Times New Roman" w:eastAsia="方正小标宋简体" w:cs="Times New Roman"/>
          <w:b w:val="0"/>
          <w:bCs w:val="0"/>
          <w:color w:val="auto"/>
          <w:kern w:val="2"/>
          <w:sz w:val="44"/>
          <w:szCs w:val="44"/>
          <w:lang w:val="en-US" w:eastAsia="zh-CN" w:bidi="ar-SA"/>
        </w:rPr>
        <w:t>达拉特旗天宝石英砂矿业有限公司石英砂采洗项目</w:t>
      </w:r>
      <w:r>
        <w:rPr>
          <w:rFonts w:hint="default" w:ascii="Times New Roman" w:hAnsi="Times New Roman" w:eastAsia="方正小标宋简体" w:cs="Times New Roman"/>
          <w:b w:val="0"/>
          <w:bCs w:val="0"/>
          <w:color w:val="auto"/>
          <w:sz w:val="44"/>
          <w:szCs w:val="44"/>
          <w:lang w:val="en-US" w:eastAsia="zh-CN"/>
        </w:rPr>
        <w:t>水土保持方案（外排土场）补充报告书</w:t>
      </w:r>
    </w:p>
    <w:p w14:paraId="267F4B0F">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b w:val="0"/>
          <w:bCs w:val="0"/>
          <w:color w:val="auto"/>
          <w:sz w:val="44"/>
          <w:szCs w:val="44"/>
          <w:lang w:val="en-US" w:eastAsia="zh-CN"/>
        </w:rPr>
      </w:pPr>
      <w:r>
        <w:rPr>
          <w:rFonts w:hint="eastAsia" w:ascii="Times New Roman" w:hAnsi="Times New Roman" w:eastAsia="方正小标宋简体" w:cs="Times New Roman"/>
          <w:b w:val="0"/>
          <w:bCs w:val="0"/>
          <w:color w:val="auto"/>
          <w:sz w:val="44"/>
          <w:szCs w:val="44"/>
          <w:lang w:val="en-US" w:eastAsia="zh-CN"/>
        </w:rPr>
        <w:t>审批</w:t>
      </w:r>
      <w:r>
        <w:rPr>
          <w:rFonts w:hint="default" w:ascii="Times New Roman" w:hAnsi="Times New Roman" w:eastAsia="方正小标宋简体" w:cs="Times New Roman"/>
          <w:b w:val="0"/>
          <w:bCs w:val="0"/>
          <w:color w:val="auto"/>
          <w:sz w:val="44"/>
          <w:szCs w:val="44"/>
          <w:lang w:val="en-US" w:eastAsia="zh-CN"/>
        </w:rPr>
        <w:t>准予行政许可决定书</w:t>
      </w:r>
    </w:p>
    <w:p w14:paraId="2C1EB524">
      <w:pPr>
        <w:spacing w:line="240" w:lineRule="atLeast"/>
        <w:jc w:val="center"/>
        <w:outlineLvl w:val="0"/>
        <w:rPr>
          <w:rFonts w:hint="default" w:ascii="Times New Roman" w:hAnsi="Times New Roman" w:eastAsia="仿宋" w:cs="Times New Roman"/>
          <w:sz w:val="32"/>
          <w:szCs w:val="32"/>
          <w:lang w:eastAsia="zh-CN"/>
        </w:rPr>
      </w:pPr>
    </w:p>
    <w:p w14:paraId="52F3F8BD">
      <w:pPr>
        <w:pStyle w:val="4"/>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color w:val="000000"/>
          <w:kern w:val="0"/>
          <w:sz w:val="32"/>
          <w:szCs w:val="32"/>
          <w:lang w:val="en-US" w:eastAsia="zh-CN" w:bidi="ar"/>
        </w:rPr>
      </w:pPr>
      <w:r>
        <w:rPr>
          <w:rFonts w:hint="eastAsia" w:ascii="Times New Roman" w:hAnsi="Times New Roman" w:eastAsia="仿宋_GB2312" w:cs="Times New Roman"/>
          <w:color w:val="000000"/>
          <w:kern w:val="0"/>
          <w:sz w:val="32"/>
          <w:szCs w:val="32"/>
          <w:lang w:val="en-US" w:eastAsia="zh-CN" w:bidi="ar"/>
        </w:rPr>
        <w:t>达拉特旗天宝石英砂矿业有限公司</w:t>
      </w:r>
      <w:r>
        <w:rPr>
          <w:rFonts w:hint="default" w:ascii="Times New Roman" w:hAnsi="Times New Roman" w:eastAsia="仿宋_GB2312" w:cs="Times New Roman"/>
          <w:color w:val="000000"/>
          <w:kern w:val="0"/>
          <w:sz w:val="32"/>
          <w:szCs w:val="32"/>
          <w:lang w:val="en-US" w:eastAsia="zh-CN" w:bidi="ar"/>
        </w:rPr>
        <w:t>：</w:t>
      </w:r>
    </w:p>
    <w:p w14:paraId="659D1C45">
      <w:pPr>
        <w:pStyle w:val="4"/>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你单位《关于申请审查达拉特旗天宝石英砂矿业有限公司石英砂采洗项目水土保持方案（外排土场）补充报告书的请示》已收悉。经审</w:t>
      </w:r>
      <w:r>
        <w:rPr>
          <w:rFonts w:hint="eastAsia" w:ascii="Times New Roman" w:hAnsi="Times New Roman" w:eastAsia="仿宋_GB2312" w:cs="Times New Roman"/>
          <w:color w:val="000000"/>
          <w:kern w:val="0"/>
          <w:sz w:val="32"/>
          <w:szCs w:val="32"/>
          <w:lang w:val="en-US" w:eastAsia="zh-CN" w:bidi="ar"/>
        </w:rPr>
        <w:t>查</w:t>
      </w:r>
      <w:r>
        <w:rPr>
          <w:rFonts w:hint="default" w:ascii="Times New Roman" w:hAnsi="Times New Roman" w:eastAsia="仿宋_GB2312" w:cs="Times New Roman"/>
          <w:color w:val="000000"/>
          <w:kern w:val="0"/>
          <w:sz w:val="32"/>
          <w:szCs w:val="32"/>
          <w:lang w:val="en-US" w:eastAsia="zh-CN" w:bidi="ar"/>
        </w:rPr>
        <w:t>，该申请符合法定条件，根据《中华人民共和国行政许可法》第三十八条第一款、《水行政许可实施办法》第三十二条第一项，决定准予行政许可。</w:t>
      </w:r>
    </w:p>
    <w:p w14:paraId="7586096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一、项目建设内容及项目区概况</w:t>
      </w:r>
    </w:p>
    <w:p w14:paraId="7B4EB4D3">
      <w:pPr>
        <w:pStyle w:val="4"/>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达拉特旗天宝石英砂矿业有限公司石英砂采洗项目位于鄂尔多斯市达拉特旗风水梁镇（原敖包梁乡）母哈日沟村境内，地理坐标为东经：110°19′21"~110°19'48"；北纬：39°55'48"~39°55'39"。</w:t>
      </w:r>
      <w:r>
        <w:rPr>
          <w:rFonts w:hint="eastAsia" w:ascii="Times New Roman" w:hAnsi="Times New Roman" w:eastAsia="仿宋_GB2312" w:cs="Times New Roman"/>
          <w:color w:val="000000"/>
          <w:kern w:val="0"/>
          <w:sz w:val="32"/>
          <w:szCs w:val="32"/>
          <w:lang w:val="en-US" w:eastAsia="zh-CN" w:bidi="ar"/>
        </w:rPr>
        <w:t>2002年11月12日，达拉特旗发展计划经济贸易局以“达计经发〔2002〕235号文”对该项目立项进行了批</w:t>
      </w:r>
      <w:r>
        <w:rPr>
          <w:rFonts w:hint="eastAsia" w:ascii="宋体" w:hAnsi="宋体" w:eastAsia="宋体"/>
          <w:color w:val="000000"/>
          <w:sz w:val="30"/>
        </w:rPr>
        <w:t>复</w:t>
      </w:r>
      <w:r>
        <w:rPr>
          <w:rFonts w:hint="eastAsia" w:ascii="宋体" w:hAnsi="宋体" w:eastAsia="宋体"/>
          <w:color w:val="000000"/>
          <w:sz w:val="30"/>
          <w:lang w:eastAsia="zh-CN"/>
        </w:rPr>
        <w:t>；</w:t>
      </w:r>
      <w:r>
        <w:rPr>
          <w:rFonts w:hint="eastAsia" w:ascii="Times New Roman" w:hAnsi="Times New Roman" w:eastAsia="仿宋_GB2312" w:cs="Times New Roman"/>
          <w:color w:val="000000"/>
          <w:kern w:val="0"/>
          <w:sz w:val="32"/>
          <w:szCs w:val="32"/>
          <w:lang w:val="en-US" w:eastAsia="zh-CN" w:bidi="ar"/>
        </w:rPr>
        <w:t>2019年1月16日，达拉特旗水土保持局以“达水保〔2019〕7号文”对该项目水土保持方案报告书予以批复；2021年3月，因项目占地面积增加建设单位组织编报了该项目水土保持方案修改报告书，2021年4月1日，达拉特旗水利局以“达水许决〔2021〕24号文”对修改报告书予以批复。因建设过程中实际产生外排土场数量较修改报告书批复数量</w:t>
      </w:r>
      <w:r>
        <w:rPr>
          <w:rFonts w:hint="default" w:ascii="Times New Roman" w:hAnsi="Times New Roman" w:eastAsia="仿宋_GB2312" w:cs="Times New Roman"/>
          <w:color w:val="000000"/>
          <w:kern w:val="0"/>
          <w:sz w:val="32"/>
          <w:szCs w:val="32"/>
          <w:lang w:val="en-US" w:eastAsia="zh-CN" w:bidi="ar"/>
        </w:rPr>
        <w:t>增加2处，且已批复的外排土场占地面积和排弃量均发生变化，按照《生产建设项目水土保持方案管理办法》（水利部令第53号）的相关要求，建设单位针对外排土场的变化组织编报了本次外排土场补充报告书</w:t>
      </w:r>
      <w:r>
        <w:rPr>
          <w:rFonts w:hint="eastAsia" w:ascii="Times New Roman" w:hAnsi="Times New Roman" w:eastAsia="仿宋_GB2312" w:cs="Times New Roman"/>
          <w:color w:val="000000"/>
          <w:kern w:val="0"/>
          <w:sz w:val="32"/>
          <w:szCs w:val="32"/>
          <w:lang w:val="en-US" w:eastAsia="zh-CN" w:bidi="ar"/>
        </w:rPr>
        <w:t>。</w:t>
      </w:r>
    </w:p>
    <w:p w14:paraId="400A5ED5">
      <w:pPr>
        <w:pStyle w:val="4"/>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eastAsia"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本次外排土场补充报告的主要建设内容由1＃外排土场、2＃外排土场、3＃外排土场3个部分组成，其中1＃外排土场为修改报告书批复的外排土场，2、3＃外排土场为新增的2个外排土场</w:t>
      </w:r>
      <w:r>
        <w:rPr>
          <w:rFonts w:hint="eastAsia" w:ascii="Times New Roman" w:hAnsi="Times New Roman" w:eastAsia="仿宋_GB2312" w:cs="Times New Roman"/>
          <w:color w:val="000000"/>
          <w:kern w:val="0"/>
          <w:sz w:val="32"/>
          <w:szCs w:val="32"/>
          <w:lang w:val="en-US" w:eastAsia="zh-CN" w:bidi="ar"/>
        </w:rPr>
        <w:t>。本工程建设征占地总面积2.84公顷，全部为永久占地。总排弃量4.26万立方米。工程总投资280万元，其中土建投资200万元。工程于2020年3月开工建设，2022年12月完工，总工期34个月。补充报告书属补报。</w:t>
      </w:r>
    </w:p>
    <w:p w14:paraId="38AA33C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二、主体工程水土保持分析与评价</w:t>
      </w:r>
    </w:p>
    <w:p w14:paraId="5B0DADCD">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基本同意水土保持制约性因素的分析与评价结论，工程区涉及黄河多沙粗沙国家级水土流失重点治理区</w:t>
      </w:r>
      <w:r>
        <w:rPr>
          <w:rFonts w:hint="eastAsia" w:ascii="Times New Roman" w:hAnsi="Times New Roman" w:eastAsia="仿宋_GB2312" w:cs="Times New Roman"/>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应加强保护、治理和补偿措施；基本同意从水土保持角度对主体工程建设布局、工程占地、弃渣减量化资源化、施工方法与工艺的评价；基本同意对主体工程中具有水土保持功能工程的界定和评价。</w:t>
      </w:r>
    </w:p>
    <w:p w14:paraId="67F7F8E6">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三、水土流失防治责任范围</w:t>
      </w:r>
    </w:p>
    <w:p w14:paraId="3D78BD6B">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基本同意补充报告书确定的外排土场水土流失防治责任范围为2.84公顷。</w:t>
      </w:r>
    </w:p>
    <w:p w14:paraId="70BE044D">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四、水土流失调查</w:t>
      </w:r>
    </w:p>
    <w:p w14:paraId="0AA5A9E0">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Times New Roman" w:hAnsi="Times New Roman" w:eastAsia="仿宋_GB2312" w:cs="Times New Roman"/>
          <w:color w:val="000000"/>
          <w:kern w:val="0"/>
          <w:sz w:val="32"/>
          <w:szCs w:val="32"/>
          <w:highlight w:val="none"/>
          <w:lang w:val="en-US" w:eastAsia="zh-CN" w:bidi="ar"/>
        </w:rPr>
      </w:pPr>
      <w:r>
        <w:rPr>
          <w:rFonts w:hint="default" w:ascii="Times New Roman" w:hAnsi="Times New Roman" w:eastAsia="仿宋_GB2312" w:cs="Times New Roman"/>
          <w:color w:val="000000"/>
          <w:kern w:val="0"/>
          <w:sz w:val="32"/>
          <w:szCs w:val="32"/>
          <w:lang w:val="en-US" w:eastAsia="zh-CN" w:bidi="ar"/>
        </w:rPr>
        <w:t>因本方案为修改报告书的补充内容，同意继续执行修改报告书确定的西北黄土高原区一级标准</w:t>
      </w:r>
      <w:r>
        <w:rPr>
          <w:rFonts w:hint="eastAsia" w:ascii="Times New Roman" w:hAnsi="Times New Roman" w:eastAsia="仿宋_GB2312" w:cs="Times New Roman"/>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基本同意水土流失防治目标为：水土流失治理度93%、土壤流失控制比0.8、渣土防护率92%、林草植被恢复率95%、林草覆盖率</w:t>
      </w:r>
      <w:r>
        <w:rPr>
          <w:rFonts w:hint="eastAsia" w:ascii="Times New Roman" w:hAnsi="Times New Roman" w:eastAsia="仿宋_GB2312" w:cs="Times New Roman"/>
          <w:color w:val="000000"/>
          <w:kern w:val="0"/>
          <w:sz w:val="32"/>
          <w:szCs w:val="32"/>
          <w:lang w:val="en-US" w:eastAsia="zh-CN" w:bidi="ar"/>
        </w:rPr>
        <w:t>22</w:t>
      </w: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highlight w:val="none"/>
          <w:lang w:val="en-US" w:eastAsia="zh-CN" w:bidi="ar"/>
        </w:rPr>
        <w:t>。外排土场在排土前也未剥离表土，故与修改报告书一致，表土保护率也不作定量要求。</w:t>
      </w:r>
    </w:p>
    <w:p w14:paraId="615A8DD3">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黑体" w:hAnsi="黑体" w:eastAsia="黑体" w:cs="黑体"/>
          <w:b/>
          <w:bCs/>
          <w:sz w:val="32"/>
          <w:szCs w:val="32"/>
        </w:rPr>
      </w:pPr>
      <w:r>
        <w:rPr>
          <w:rFonts w:hint="eastAsia" w:ascii="黑体" w:hAnsi="黑体" w:eastAsia="黑体" w:cs="黑体"/>
          <w:b w:val="0"/>
          <w:bCs w:val="0"/>
          <w:sz w:val="32"/>
          <w:szCs w:val="32"/>
        </w:rPr>
        <w:t>五、水土流失防治分区及分区防治措施</w:t>
      </w:r>
    </w:p>
    <w:p w14:paraId="5FBD53E0">
      <w:pPr>
        <w:pStyle w:val="6"/>
        <w:keepNext w:val="0"/>
        <w:keepLines w:val="0"/>
        <w:pageBreakBefore w:val="0"/>
        <w:kinsoku/>
        <w:wordWrap/>
        <w:overflowPunct/>
        <w:topLinePunct w:val="0"/>
        <w:autoSpaceDE/>
        <w:autoSpaceDN/>
        <w:bidi w:val="0"/>
        <w:spacing w:line="540" w:lineRule="exact"/>
        <w:ind w:left="0" w:leftChars="0" w:firstLine="640" w:firstLineChars="200"/>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 w:cs="Times New Roman"/>
          <w:sz w:val="32"/>
          <w:szCs w:val="32"/>
        </w:rPr>
        <w:t>同</w:t>
      </w:r>
      <w:r>
        <w:rPr>
          <w:rFonts w:hint="default" w:ascii="Times New Roman" w:hAnsi="Times New Roman" w:eastAsia="仿宋_GB2312" w:cs="Times New Roman"/>
          <w:color w:val="000000"/>
          <w:kern w:val="0"/>
          <w:sz w:val="32"/>
          <w:szCs w:val="32"/>
          <w:lang w:val="en-US" w:eastAsia="zh-CN" w:bidi="ar"/>
        </w:rPr>
        <w:t>意项目水土流失防治执行西北黄土高原区一级标准。</w:t>
      </w:r>
    </w:p>
    <w:p w14:paraId="627EC269">
      <w:pPr>
        <w:keepNext w:val="0"/>
        <w:keepLines w:val="0"/>
        <w:pageBreakBefore w:val="0"/>
        <w:kinsoku/>
        <w:wordWrap/>
        <w:overflowPunct/>
        <w:topLinePunct w:val="0"/>
        <w:autoSpaceDE/>
        <w:autoSpaceDN/>
        <w:bidi w:val="0"/>
        <w:snapToGrid w:val="0"/>
        <w:spacing w:line="540" w:lineRule="exact"/>
        <w:ind w:firstLine="640" w:firstLineChars="200"/>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同意依据工程布局将水土流失防治区划分为外排土场1个一级防治分区，1＃外排土场、2＃外排土场、3＃外排土场3个二级防治分区</w:t>
      </w:r>
      <w:r>
        <w:rPr>
          <w:rFonts w:hint="eastAsia" w:ascii="Times New Roman" w:hAnsi="Times New Roman" w:eastAsia="仿宋_GB2312" w:cs="Times New Roman"/>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方案水土流失防治措施体系为工程措施、植物措施和临时措施组成。</w:t>
      </w:r>
    </w:p>
    <w:p w14:paraId="31519913">
      <w:pPr>
        <w:keepNext w:val="0"/>
        <w:keepLines w:val="0"/>
        <w:pageBreakBefore w:val="0"/>
        <w:numPr>
          <w:ilvl w:val="0"/>
          <w:numId w:val="0"/>
        </w:numPr>
        <w:kinsoku/>
        <w:wordWrap/>
        <w:overflowPunct/>
        <w:topLinePunct w:val="0"/>
        <w:autoSpaceDE/>
        <w:autoSpaceDN/>
        <w:bidi w:val="0"/>
        <w:snapToGrid w:val="0"/>
        <w:spacing w:line="540" w:lineRule="exact"/>
        <w:ind w:firstLine="643" w:firstLineChars="200"/>
        <w:rPr>
          <w:rFonts w:hint="eastAsia" w:ascii="Times New Roman" w:hAnsi="Times New Roman" w:eastAsia="仿宋_GB2312" w:cs="Times New Roman"/>
          <w:color w:val="000000"/>
          <w:kern w:val="0"/>
          <w:sz w:val="32"/>
          <w:szCs w:val="32"/>
          <w:highlight w:val="none"/>
          <w:lang w:val="en-US" w:eastAsia="zh-CN" w:bidi="ar"/>
        </w:rPr>
      </w:pPr>
      <w:r>
        <w:rPr>
          <w:rFonts w:hint="eastAsia" w:ascii="Times New Roman" w:hAnsi="Times New Roman" w:eastAsia="仿宋_GB2312" w:cs="Times New Roman"/>
          <w:b/>
          <w:bCs/>
          <w:color w:val="000000"/>
          <w:kern w:val="0"/>
          <w:sz w:val="32"/>
          <w:szCs w:val="32"/>
          <w:highlight w:val="none"/>
          <w:lang w:val="en-US" w:eastAsia="zh-CN" w:bidi="ar"/>
        </w:rPr>
        <w:t>1＃外排土场，</w:t>
      </w:r>
      <w:r>
        <w:rPr>
          <w:rFonts w:hint="default" w:ascii="Times New Roman" w:hAnsi="Times New Roman" w:eastAsia="仿宋_GB2312" w:cs="Times New Roman"/>
          <w:b/>
          <w:bCs/>
          <w:color w:val="000000"/>
          <w:kern w:val="0"/>
          <w:sz w:val="32"/>
          <w:szCs w:val="32"/>
          <w:highlight w:val="none"/>
          <w:lang w:val="en-US" w:eastAsia="zh-CN" w:bidi="ar"/>
        </w:rPr>
        <w:t>工程措施</w:t>
      </w:r>
      <w:r>
        <w:rPr>
          <w:rFonts w:hint="default" w:ascii="Times New Roman" w:hAnsi="Times New Roman" w:eastAsia="仿宋_GB2312" w:cs="Times New Roman"/>
          <w:color w:val="000000"/>
          <w:kern w:val="0"/>
          <w:sz w:val="32"/>
          <w:szCs w:val="32"/>
          <w:highlight w:val="none"/>
          <w:lang w:val="en-US" w:eastAsia="zh-CN" w:bidi="ar"/>
        </w:rPr>
        <w:t>：主体工程在四级台阶平台进行土地整治</w:t>
      </w:r>
      <w:r>
        <w:rPr>
          <w:rFonts w:hint="eastAsia" w:ascii="Times New Roman" w:hAnsi="Times New Roman" w:eastAsia="仿宋_GB2312" w:cs="Times New Roman"/>
          <w:color w:val="000000"/>
          <w:kern w:val="0"/>
          <w:sz w:val="32"/>
          <w:szCs w:val="32"/>
          <w:highlight w:val="none"/>
          <w:lang w:val="en-US" w:eastAsia="zh-CN" w:bidi="ar"/>
        </w:rPr>
        <w:t>，</w:t>
      </w:r>
      <w:r>
        <w:rPr>
          <w:rFonts w:hint="default" w:ascii="Times New Roman" w:hAnsi="Times New Roman" w:eastAsia="仿宋_GB2312" w:cs="Times New Roman"/>
          <w:color w:val="000000"/>
          <w:kern w:val="0"/>
          <w:sz w:val="32"/>
          <w:szCs w:val="32"/>
          <w:highlight w:val="none"/>
          <w:lang w:val="en-US" w:eastAsia="zh-CN" w:bidi="ar"/>
        </w:rPr>
        <w:t>土地整治面积0.25hm</w:t>
      </w:r>
      <w:r>
        <w:rPr>
          <w:rFonts w:hint="default" w:ascii="Times New Roman" w:hAnsi="Times New Roman" w:eastAsia="仿宋_GB2312" w:cs="Times New Roman"/>
          <w:color w:val="000000"/>
          <w:kern w:val="0"/>
          <w:sz w:val="32"/>
          <w:szCs w:val="32"/>
          <w:highlight w:val="none"/>
          <w:vertAlign w:val="superscript"/>
          <w:lang w:val="en-US" w:eastAsia="zh-CN" w:bidi="ar"/>
        </w:rPr>
        <w:t>2</w:t>
      </w:r>
      <w:r>
        <w:rPr>
          <w:rFonts w:hint="eastAsia" w:ascii="Times New Roman" w:hAnsi="Times New Roman" w:eastAsia="仿宋_GB2312" w:cs="Times New Roman"/>
          <w:color w:val="000000"/>
          <w:kern w:val="0"/>
          <w:sz w:val="32"/>
          <w:szCs w:val="32"/>
          <w:highlight w:val="none"/>
          <w:lang w:val="en-US" w:eastAsia="zh-CN" w:bidi="ar"/>
        </w:rPr>
        <w:t>；主体工程在1#外排土场的一、二、三、四级台阶平台周边设置挡水围埂，总长度为749m；主体工程在1#外排土场的一、二、三、四级台阶平台边坡设置沙柳网格沙障护坡，措施面积0.18hm</w:t>
      </w:r>
      <w:r>
        <w:rPr>
          <w:rFonts w:hint="eastAsia" w:ascii="Times New Roman" w:hAnsi="Times New Roman" w:eastAsia="仿宋_GB2312" w:cs="Times New Roman"/>
          <w:color w:val="000000"/>
          <w:kern w:val="0"/>
          <w:sz w:val="32"/>
          <w:szCs w:val="32"/>
          <w:highlight w:val="none"/>
          <w:vertAlign w:val="superscript"/>
          <w:lang w:val="en-US" w:eastAsia="zh-CN" w:bidi="ar"/>
        </w:rPr>
        <w:t>2</w:t>
      </w:r>
      <w:r>
        <w:rPr>
          <w:rFonts w:hint="eastAsia" w:ascii="Times New Roman" w:hAnsi="Times New Roman" w:eastAsia="仿宋_GB2312" w:cs="Times New Roman"/>
          <w:color w:val="000000"/>
          <w:kern w:val="0"/>
          <w:sz w:val="32"/>
          <w:szCs w:val="32"/>
          <w:highlight w:val="none"/>
          <w:lang w:val="en-US" w:eastAsia="zh-CN" w:bidi="ar"/>
        </w:rPr>
        <w:t>（坡面面积0.41hm</w:t>
      </w:r>
      <w:r>
        <w:rPr>
          <w:rFonts w:hint="eastAsia" w:ascii="Times New Roman" w:hAnsi="Times New Roman" w:eastAsia="仿宋_GB2312" w:cs="Times New Roman"/>
          <w:color w:val="000000"/>
          <w:kern w:val="0"/>
          <w:sz w:val="32"/>
          <w:szCs w:val="32"/>
          <w:highlight w:val="none"/>
          <w:vertAlign w:val="superscript"/>
          <w:lang w:val="en-US" w:eastAsia="zh-CN" w:bidi="ar"/>
        </w:rPr>
        <w:t>2</w:t>
      </w:r>
      <w:r>
        <w:rPr>
          <w:rFonts w:hint="eastAsia" w:ascii="Times New Roman" w:hAnsi="Times New Roman" w:eastAsia="仿宋_GB2312" w:cs="Times New Roman"/>
          <w:color w:val="000000"/>
          <w:kern w:val="0"/>
          <w:sz w:val="32"/>
          <w:szCs w:val="32"/>
          <w:highlight w:val="none"/>
          <w:lang w:val="en-US" w:eastAsia="zh-CN" w:bidi="ar"/>
        </w:rPr>
        <w:t>）；在1#外排土场下游沟道设置4座（1#~4#）浆砌石拦沙坝（已实施）。</w:t>
      </w:r>
      <w:r>
        <w:rPr>
          <w:rFonts w:hint="default" w:ascii="Times New Roman" w:hAnsi="Times New Roman" w:eastAsia="仿宋_GB2312" w:cs="Times New Roman"/>
          <w:color w:val="000000"/>
          <w:kern w:val="0"/>
          <w:sz w:val="32"/>
          <w:szCs w:val="32"/>
          <w:highlight w:val="none"/>
          <w:lang w:val="en-US" w:eastAsia="zh-CN" w:bidi="ar"/>
        </w:rPr>
        <w:t>对一、二、三级台阶平台进行土地整治，土地整治面积 0.87hm</w:t>
      </w:r>
      <w:r>
        <w:rPr>
          <w:rFonts w:hint="default" w:ascii="Times New Roman" w:hAnsi="Times New Roman" w:eastAsia="仿宋_GB2312" w:cs="Times New Roman"/>
          <w:color w:val="000000"/>
          <w:kern w:val="0"/>
          <w:sz w:val="32"/>
          <w:szCs w:val="32"/>
          <w:highlight w:val="none"/>
          <w:vertAlign w:val="superscript"/>
          <w:lang w:val="en-US" w:eastAsia="zh-CN" w:bidi="ar"/>
        </w:rPr>
        <w:t>2</w:t>
      </w:r>
      <w:r>
        <w:rPr>
          <w:rFonts w:hint="default" w:ascii="Times New Roman" w:hAnsi="Times New Roman" w:eastAsia="仿宋_GB2312" w:cs="Times New Roman"/>
          <w:color w:val="000000"/>
          <w:kern w:val="0"/>
          <w:sz w:val="32"/>
          <w:szCs w:val="32"/>
          <w:highlight w:val="none"/>
          <w:lang w:val="en-US" w:eastAsia="zh-CN" w:bidi="ar"/>
        </w:rPr>
        <w:t>（扣除围梗和已整治面积）</w:t>
      </w:r>
      <w:r>
        <w:rPr>
          <w:rFonts w:hint="eastAsia" w:ascii="Times New Roman" w:hAnsi="Times New Roman" w:eastAsia="仿宋_GB2312" w:cs="Times New Roman"/>
          <w:color w:val="000000"/>
          <w:kern w:val="0"/>
          <w:sz w:val="32"/>
          <w:szCs w:val="32"/>
          <w:highlight w:val="none"/>
          <w:lang w:val="en-US" w:eastAsia="zh-CN" w:bidi="ar"/>
        </w:rPr>
        <w:t>（新增）。</w:t>
      </w:r>
      <w:r>
        <w:rPr>
          <w:rFonts w:hint="eastAsia" w:ascii="Times New Roman" w:hAnsi="Times New Roman" w:eastAsia="仿宋_GB2312" w:cs="Times New Roman"/>
          <w:b/>
          <w:bCs/>
          <w:color w:val="000000"/>
          <w:kern w:val="0"/>
          <w:sz w:val="32"/>
          <w:szCs w:val="32"/>
          <w:highlight w:val="none"/>
          <w:lang w:val="zh-CN" w:eastAsia="zh-CN" w:bidi="ar"/>
        </w:rPr>
        <w:t>植物措施：</w:t>
      </w:r>
      <w:r>
        <w:rPr>
          <w:rFonts w:hint="default" w:ascii="Times New Roman" w:hAnsi="Times New Roman" w:eastAsia="仿宋_GB2312" w:cs="Times New Roman"/>
          <w:color w:val="000000"/>
          <w:kern w:val="0"/>
          <w:sz w:val="32"/>
          <w:szCs w:val="32"/>
          <w:highlight w:val="none"/>
          <w:lang w:val="en-US" w:eastAsia="zh-CN" w:bidi="ar"/>
        </w:rPr>
        <w:t>四级台阶平台实施造林种草措施，绿化面积0.20hm</w:t>
      </w:r>
      <w:r>
        <w:rPr>
          <w:rFonts w:hint="default" w:ascii="Times New Roman" w:hAnsi="Times New Roman" w:eastAsia="仿宋_GB2312" w:cs="Times New Roman"/>
          <w:color w:val="000000"/>
          <w:kern w:val="0"/>
          <w:sz w:val="32"/>
          <w:szCs w:val="32"/>
          <w:highlight w:val="none"/>
          <w:vertAlign w:val="superscript"/>
          <w:lang w:val="en-US" w:eastAsia="zh-CN" w:bidi="ar"/>
        </w:rPr>
        <w:t>2</w:t>
      </w:r>
      <w:r>
        <w:rPr>
          <w:rFonts w:hint="eastAsia" w:ascii="Times New Roman" w:hAnsi="Times New Roman" w:eastAsia="仿宋_GB2312" w:cs="Times New Roman"/>
          <w:color w:val="000000"/>
          <w:kern w:val="0"/>
          <w:sz w:val="32"/>
          <w:szCs w:val="32"/>
          <w:highlight w:val="none"/>
          <w:lang w:val="en-US" w:eastAsia="zh-CN" w:bidi="ar"/>
        </w:rPr>
        <w:t>（已实施）。对一、二、三级台阶平台实施造林种草措施，对四级台阶平台存活率低的位置补植补种，总绿化面积0.92hm</w:t>
      </w:r>
      <w:r>
        <w:rPr>
          <w:rFonts w:hint="eastAsia" w:ascii="Times New Roman" w:hAnsi="Times New Roman" w:eastAsia="仿宋_GB2312" w:cs="Times New Roman"/>
          <w:color w:val="000000"/>
          <w:kern w:val="0"/>
          <w:sz w:val="32"/>
          <w:szCs w:val="32"/>
          <w:highlight w:val="none"/>
          <w:vertAlign w:val="superscript"/>
          <w:lang w:val="en-US" w:eastAsia="zh-CN" w:bidi="ar"/>
        </w:rPr>
        <w:t>2</w:t>
      </w:r>
      <w:r>
        <w:rPr>
          <w:rFonts w:hint="eastAsia" w:ascii="Times New Roman" w:hAnsi="Times New Roman" w:eastAsia="仿宋_GB2312" w:cs="Times New Roman"/>
          <w:color w:val="000000"/>
          <w:kern w:val="0"/>
          <w:sz w:val="32"/>
          <w:szCs w:val="32"/>
          <w:highlight w:val="none"/>
          <w:lang w:val="en-US" w:eastAsia="zh-CN" w:bidi="ar"/>
        </w:rPr>
        <w:t>；一、二、三、四级台阶平台的周边挡水围埂实施造林种草措施，总绿化面积0.23hm</w:t>
      </w:r>
      <w:r>
        <w:rPr>
          <w:rFonts w:hint="eastAsia" w:ascii="Times New Roman" w:hAnsi="Times New Roman" w:eastAsia="仿宋_GB2312" w:cs="Times New Roman"/>
          <w:color w:val="000000"/>
          <w:kern w:val="0"/>
          <w:sz w:val="32"/>
          <w:szCs w:val="32"/>
          <w:highlight w:val="none"/>
          <w:vertAlign w:val="superscript"/>
          <w:lang w:val="en-US" w:eastAsia="zh-CN" w:bidi="ar"/>
        </w:rPr>
        <w:t>2</w:t>
      </w:r>
      <w:r>
        <w:rPr>
          <w:rFonts w:hint="eastAsia" w:ascii="Times New Roman" w:hAnsi="Times New Roman" w:eastAsia="仿宋_GB2312" w:cs="Times New Roman"/>
          <w:color w:val="000000"/>
          <w:kern w:val="0"/>
          <w:sz w:val="32"/>
          <w:szCs w:val="32"/>
          <w:highlight w:val="none"/>
          <w:lang w:val="en-US" w:eastAsia="zh-CN" w:bidi="ar"/>
        </w:rPr>
        <w:t>；沙柳网格边坡内实施撒播种草措施，措施面积0.18hm</w:t>
      </w:r>
      <w:r>
        <w:rPr>
          <w:rFonts w:hint="eastAsia" w:ascii="Times New Roman" w:hAnsi="Times New Roman" w:eastAsia="仿宋_GB2312" w:cs="Times New Roman"/>
          <w:color w:val="000000"/>
          <w:kern w:val="0"/>
          <w:sz w:val="32"/>
          <w:szCs w:val="32"/>
          <w:highlight w:val="none"/>
          <w:vertAlign w:val="superscript"/>
          <w:lang w:val="en-US" w:eastAsia="zh-CN" w:bidi="ar"/>
        </w:rPr>
        <w:t>2</w:t>
      </w:r>
      <w:r>
        <w:rPr>
          <w:rFonts w:hint="eastAsia" w:ascii="Times New Roman" w:hAnsi="Times New Roman" w:eastAsia="仿宋_GB2312" w:cs="Times New Roman"/>
          <w:color w:val="000000"/>
          <w:kern w:val="0"/>
          <w:sz w:val="32"/>
          <w:szCs w:val="32"/>
          <w:highlight w:val="none"/>
          <w:lang w:val="en-US" w:eastAsia="zh-CN" w:bidi="ar"/>
        </w:rPr>
        <w:t>（坡面面积0.41hm</w:t>
      </w:r>
      <w:r>
        <w:rPr>
          <w:rFonts w:hint="eastAsia" w:ascii="Times New Roman" w:hAnsi="Times New Roman" w:eastAsia="仿宋_GB2312" w:cs="Times New Roman"/>
          <w:color w:val="000000"/>
          <w:kern w:val="0"/>
          <w:sz w:val="32"/>
          <w:szCs w:val="32"/>
          <w:highlight w:val="none"/>
          <w:vertAlign w:val="superscript"/>
          <w:lang w:val="en-US" w:eastAsia="zh-CN" w:bidi="ar"/>
        </w:rPr>
        <w:t>2</w:t>
      </w:r>
      <w:r>
        <w:rPr>
          <w:rFonts w:hint="eastAsia" w:ascii="Times New Roman" w:hAnsi="Times New Roman" w:eastAsia="仿宋_GB2312" w:cs="Times New Roman"/>
          <w:color w:val="000000"/>
          <w:kern w:val="0"/>
          <w:sz w:val="32"/>
          <w:szCs w:val="32"/>
          <w:highlight w:val="none"/>
          <w:lang w:val="en-US" w:eastAsia="zh-CN" w:bidi="ar"/>
        </w:rPr>
        <w:t>）（新增）。</w:t>
      </w:r>
    </w:p>
    <w:p w14:paraId="2A681156">
      <w:pPr>
        <w:keepNext w:val="0"/>
        <w:keepLines w:val="0"/>
        <w:pageBreakBefore w:val="0"/>
        <w:numPr>
          <w:ilvl w:val="0"/>
          <w:numId w:val="0"/>
        </w:numPr>
        <w:kinsoku/>
        <w:wordWrap/>
        <w:overflowPunct/>
        <w:topLinePunct w:val="0"/>
        <w:autoSpaceDE/>
        <w:autoSpaceDN/>
        <w:bidi w:val="0"/>
        <w:snapToGrid w:val="0"/>
        <w:spacing w:line="540" w:lineRule="exact"/>
        <w:ind w:firstLine="643" w:firstLineChars="200"/>
        <w:rPr>
          <w:rFonts w:hint="eastAsia" w:ascii="Times New Roman" w:hAnsi="Times New Roman" w:eastAsia="仿宋_GB2312" w:cs="Times New Roman"/>
          <w:color w:val="000000"/>
          <w:kern w:val="0"/>
          <w:sz w:val="32"/>
          <w:szCs w:val="32"/>
          <w:lang w:val="en-US" w:eastAsia="zh-CN" w:bidi="ar"/>
        </w:rPr>
      </w:pPr>
      <w:r>
        <w:rPr>
          <w:rFonts w:hint="eastAsia" w:ascii="Times New Roman" w:hAnsi="Times New Roman" w:eastAsia="仿宋_GB2312" w:cs="Times New Roman"/>
          <w:b/>
          <w:bCs/>
          <w:color w:val="000000"/>
          <w:kern w:val="0"/>
          <w:sz w:val="32"/>
          <w:szCs w:val="32"/>
          <w:highlight w:val="none"/>
          <w:lang w:val="en-US" w:eastAsia="zh-CN" w:bidi="ar"/>
        </w:rPr>
        <w:t>2＃外排土场，</w:t>
      </w:r>
      <w:r>
        <w:rPr>
          <w:rFonts w:hint="default" w:ascii="Times New Roman" w:hAnsi="Times New Roman" w:eastAsia="仿宋_GB2312" w:cs="Times New Roman"/>
          <w:b/>
          <w:bCs/>
          <w:color w:val="000000"/>
          <w:kern w:val="0"/>
          <w:sz w:val="32"/>
          <w:szCs w:val="32"/>
          <w:highlight w:val="none"/>
          <w:lang w:val="en-US" w:eastAsia="zh-CN" w:bidi="ar"/>
        </w:rPr>
        <w:t>工程措施</w:t>
      </w:r>
      <w:r>
        <w:rPr>
          <w:rFonts w:hint="default" w:ascii="Times New Roman" w:hAnsi="Times New Roman" w:eastAsia="仿宋_GB2312" w:cs="Times New Roman"/>
          <w:color w:val="000000"/>
          <w:kern w:val="0"/>
          <w:sz w:val="32"/>
          <w:szCs w:val="32"/>
          <w:highlight w:val="none"/>
          <w:lang w:val="en-US" w:eastAsia="zh-CN" w:bidi="ar"/>
        </w:rPr>
        <w:t>：外排土场边坡设置沙柳网格沙障护坡，措施面积0.26hm</w:t>
      </w:r>
      <w:r>
        <w:rPr>
          <w:rFonts w:hint="default" w:ascii="Times New Roman" w:hAnsi="Times New Roman" w:eastAsia="仿宋_GB2312" w:cs="Times New Roman"/>
          <w:color w:val="000000"/>
          <w:kern w:val="0"/>
          <w:sz w:val="32"/>
          <w:szCs w:val="32"/>
          <w:highlight w:val="none"/>
          <w:vertAlign w:val="superscript"/>
          <w:lang w:val="en-US" w:eastAsia="zh-CN" w:bidi="ar"/>
        </w:rPr>
        <w:t>2</w:t>
      </w:r>
      <w:r>
        <w:rPr>
          <w:rFonts w:hint="default" w:ascii="Times New Roman" w:hAnsi="Times New Roman" w:eastAsia="仿宋_GB2312" w:cs="Times New Roman"/>
          <w:color w:val="000000"/>
          <w:kern w:val="0"/>
          <w:sz w:val="32"/>
          <w:szCs w:val="32"/>
          <w:highlight w:val="none"/>
          <w:lang w:val="en-US" w:eastAsia="zh-CN" w:bidi="ar"/>
        </w:rPr>
        <w:t>（坡面面积为0.35hm</w:t>
      </w:r>
      <w:r>
        <w:rPr>
          <w:rFonts w:hint="default" w:ascii="Times New Roman" w:hAnsi="Times New Roman" w:eastAsia="仿宋_GB2312" w:cs="Times New Roman"/>
          <w:color w:val="000000"/>
          <w:kern w:val="0"/>
          <w:sz w:val="32"/>
          <w:szCs w:val="32"/>
          <w:highlight w:val="none"/>
          <w:vertAlign w:val="superscript"/>
          <w:lang w:val="en-US" w:eastAsia="zh-CN" w:bidi="ar"/>
        </w:rPr>
        <w:t>2</w:t>
      </w:r>
      <w:r>
        <w:rPr>
          <w:rFonts w:hint="default" w:ascii="Times New Roman" w:hAnsi="Times New Roman" w:eastAsia="仿宋_GB2312" w:cs="Times New Roman"/>
          <w:color w:val="000000"/>
          <w:kern w:val="0"/>
          <w:sz w:val="32"/>
          <w:szCs w:val="32"/>
          <w:highlight w:val="none"/>
          <w:lang w:val="en-US" w:eastAsia="zh-CN" w:bidi="ar"/>
        </w:rPr>
        <w:t>）</w:t>
      </w:r>
      <w:r>
        <w:rPr>
          <w:rFonts w:hint="eastAsia" w:ascii="Times New Roman" w:hAnsi="Times New Roman" w:eastAsia="仿宋_GB2312" w:cs="Times New Roman"/>
          <w:color w:val="000000"/>
          <w:kern w:val="0"/>
          <w:sz w:val="32"/>
          <w:szCs w:val="32"/>
          <w:highlight w:val="none"/>
          <w:lang w:val="en-US" w:eastAsia="zh-CN" w:bidi="ar"/>
        </w:rPr>
        <w:t>（已实施）。</w:t>
      </w:r>
      <w:r>
        <w:rPr>
          <w:rFonts w:hint="default" w:ascii="Times New Roman" w:hAnsi="Times New Roman" w:eastAsia="仿宋_GB2312" w:cs="Times New Roman"/>
          <w:color w:val="000000"/>
          <w:kern w:val="0"/>
          <w:sz w:val="32"/>
          <w:szCs w:val="32"/>
          <w:highlight w:val="none"/>
          <w:lang w:val="en-US" w:eastAsia="zh-CN" w:bidi="ar"/>
        </w:rPr>
        <w:t>对平台进行土地整治，土地整治面积0.55hm</w:t>
      </w:r>
      <w:r>
        <w:rPr>
          <w:rFonts w:hint="default" w:ascii="Times New Roman" w:hAnsi="Times New Roman" w:eastAsia="仿宋_GB2312" w:cs="Times New Roman"/>
          <w:color w:val="000000"/>
          <w:kern w:val="0"/>
          <w:sz w:val="32"/>
          <w:szCs w:val="32"/>
          <w:highlight w:val="none"/>
          <w:vertAlign w:val="superscript"/>
          <w:lang w:val="en-US" w:eastAsia="zh-CN" w:bidi="ar"/>
        </w:rPr>
        <w:t>2</w:t>
      </w:r>
      <w:r>
        <w:rPr>
          <w:rFonts w:hint="eastAsia" w:ascii="Times New Roman" w:hAnsi="Times New Roman" w:eastAsia="仿宋_GB2312" w:cs="Times New Roman"/>
          <w:color w:val="000000"/>
          <w:kern w:val="0"/>
          <w:sz w:val="32"/>
          <w:szCs w:val="32"/>
          <w:highlight w:val="none"/>
          <w:lang w:val="en-US" w:eastAsia="zh-CN" w:bidi="ar"/>
        </w:rPr>
        <w:t>；平台周边设置挡水围埂，防护长度327m；下游沟道新增浆砌石拦沙坝（5#）（新增）。</w:t>
      </w:r>
      <w:r>
        <w:rPr>
          <w:rFonts w:hint="eastAsia" w:ascii="Times New Roman" w:hAnsi="Times New Roman" w:eastAsia="仿宋_GB2312" w:cs="Times New Roman"/>
          <w:b/>
          <w:bCs/>
          <w:color w:val="000000"/>
          <w:kern w:val="0"/>
          <w:sz w:val="32"/>
          <w:szCs w:val="32"/>
          <w:highlight w:val="none"/>
          <w:lang w:val="en-US" w:eastAsia="zh-CN" w:bidi="ar"/>
        </w:rPr>
        <w:t>植物措施：</w:t>
      </w:r>
      <w:r>
        <w:rPr>
          <w:rFonts w:hint="eastAsia" w:ascii="Times New Roman" w:hAnsi="Times New Roman" w:eastAsia="仿宋_GB2312" w:cs="Times New Roman"/>
          <w:color w:val="000000"/>
          <w:kern w:val="0"/>
          <w:sz w:val="32"/>
          <w:szCs w:val="32"/>
          <w:lang w:val="en-US" w:eastAsia="zh-CN" w:bidi="ar"/>
        </w:rPr>
        <w:t>外排土场平台实施造林种草措施，总绿化面积0.55hm</w:t>
      </w:r>
      <w:r>
        <w:rPr>
          <w:rFonts w:hint="eastAsia" w:ascii="Times New Roman" w:hAnsi="Times New Roman" w:eastAsia="仿宋_GB2312" w:cs="Times New Roman"/>
          <w:color w:val="000000"/>
          <w:kern w:val="0"/>
          <w:sz w:val="32"/>
          <w:szCs w:val="32"/>
          <w:vertAlign w:val="superscript"/>
          <w:lang w:val="en-US" w:eastAsia="zh-CN" w:bidi="ar"/>
        </w:rPr>
        <w:t>2</w:t>
      </w:r>
      <w:r>
        <w:rPr>
          <w:rFonts w:hint="eastAsia" w:ascii="Times New Roman" w:hAnsi="Times New Roman" w:eastAsia="仿宋_GB2312" w:cs="Times New Roman"/>
          <w:color w:val="000000"/>
          <w:kern w:val="0"/>
          <w:sz w:val="32"/>
          <w:szCs w:val="32"/>
          <w:lang w:val="en-US" w:eastAsia="zh-CN" w:bidi="ar"/>
        </w:rPr>
        <w:t>；外排土场平台的周边挡水围埂实施造林种草措施，总绿化面积0.10hm</w:t>
      </w:r>
      <w:r>
        <w:rPr>
          <w:rFonts w:hint="eastAsia" w:ascii="Times New Roman" w:hAnsi="Times New Roman" w:eastAsia="仿宋_GB2312" w:cs="Times New Roman"/>
          <w:color w:val="000000"/>
          <w:kern w:val="0"/>
          <w:sz w:val="32"/>
          <w:szCs w:val="32"/>
          <w:vertAlign w:val="superscript"/>
          <w:lang w:val="en-US" w:eastAsia="zh-CN" w:bidi="ar"/>
        </w:rPr>
        <w:t>2</w:t>
      </w:r>
      <w:r>
        <w:rPr>
          <w:rFonts w:hint="eastAsia" w:ascii="Times New Roman" w:hAnsi="Times New Roman" w:eastAsia="仿宋_GB2312" w:cs="Times New Roman"/>
          <w:color w:val="000000"/>
          <w:kern w:val="0"/>
          <w:sz w:val="32"/>
          <w:szCs w:val="32"/>
          <w:lang w:val="en-US" w:eastAsia="zh-CN" w:bidi="ar"/>
        </w:rPr>
        <w:t>；沙柳网格边坡内实施撒播种草措施，措施面积0.26hm</w:t>
      </w:r>
      <w:r>
        <w:rPr>
          <w:rFonts w:hint="eastAsia" w:ascii="Times New Roman" w:hAnsi="Times New Roman" w:eastAsia="仿宋_GB2312" w:cs="Times New Roman"/>
          <w:color w:val="000000"/>
          <w:kern w:val="0"/>
          <w:sz w:val="32"/>
          <w:szCs w:val="32"/>
          <w:vertAlign w:val="superscript"/>
          <w:lang w:val="en-US" w:eastAsia="zh-CN" w:bidi="ar"/>
        </w:rPr>
        <w:t>2</w:t>
      </w:r>
      <w:r>
        <w:rPr>
          <w:rFonts w:hint="eastAsia" w:ascii="Times New Roman" w:hAnsi="Times New Roman" w:eastAsia="仿宋_GB2312" w:cs="Times New Roman"/>
          <w:color w:val="000000"/>
          <w:kern w:val="0"/>
          <w:sz w:val="32"/>
          <w:szCs w:val="32"/>
          <w:lang w:val="en-US" w:eastAsia="zh-CN" w:bidi="ar"/>
        </w:rPr>
        <w:t>（坡面面积0.35hm</w:t>
      </w:r>
      <w:r>
        <w:rPr>
          <w:rFonts w:hint="eastAsia" w:ascii="Times New Roman" w:hAnsi="Times New Roman" w:eastAsia="仿宋_GB2312" w:cs="Times New Roman"/>
          <w:color w:val="000000"/>
          <w:kern w:val="0"/>
          <w:sz w:val="32"/>
          <w:szCs w:val="32"/>
          <w:vertAlign w:val="superscript"/>
          <w:lang w:val="en-US" w:eastAsia="zh-CN" w:bidi="ar"/>
        </w:rPr>
        <w:t>2</w:t>
      </w:r>
      <w:r>
        <w:rPr>
          <w:rFonts w:hint="eastAsia" w:ascii="Times New Roman" w:hAnsi="Times New Roman" w:eastAsia="仿宋_GB2312" w:cs="Times New Roman"/>
          <w:color w:val="000000"/>
          <w:kern w:val="0"/>
          <w:sz w:val="32"/>
          <w:szCs w:val="32"/>
          <w:lang w:val="en-US" w:eastAsia="zh-CN" w:bidi="ar"/>
        </w:rPr>
        <w:t>）（新增）。</w:t>
      </w:r>
    </w:p>
    <w:p w14:paraId="7CF18EF0">
      <w:pPr>
        <w:keepNext w:val="0"/>
        <w:keepLines w:val="0"/>
        <w:pageBreakBefore w:val="0"/>
        <w:numPr>
          <w:ilvl w:val="0"/>
          <w:numId w:val="0"/>
        </w:numPr>
        <w:kinsoku/>
        <w:wordWrap/>
        <w:overflowPunct/>
        <w:topLinePunct w:val="0"/>
        <w:autoSpaceDE/>
        <w:autoSpaceDN/>
        <w:bidi w:val="0"/>
        <w:snapToGrid w:val="0"/>
        <w:spacing w:line="540" w:lineRule="exact"/>
        <w:ind w:firstLine="643" w:firstLineChars="200"/>
        <w:rPr>
          <w:rFonts w:hint="default" w:ascii="Times New Roman" w:hAnsi="Times New Roman" w:eastAsia="仿宋_GB2312" w:cs="Times New Roman"/>
          <w:color w:val="000000"/>
          <w:kern w:val="0"/>
          <w:sz w:val="32"/>
          <w:szCs w:val="32"/>
          <w:highlight w:val="none"/>
          <w:lang w:val="en-US" w:eastAsia="zh-CN" w:bidi="ar"/>
        </w:rPr>
      </w:pPr>
      <w:r>
        <w:rPr>
          <w:rFonts w:hint="eastAsia" w:ascii="Times New Roman" w:hAnsi="Times New Roman" w:eastAsia="仿宋_GB2312" w:cs="Times New Roman"/>
          <w:b/>
          <w:bCs/>
          <w:color w:val="000000"/>
          <w:kern w:val="0"/>
          <w:sz w:val="32"/>
          <w:szCs w:val="32"/>
          <w:highlight w:val="none"/>
          <w:lang w:val="en-US" w:eastAsia="zh-CN" w:bidi="ar"/>
        </w:rPr>
        <w:t>3＃外排土场，</w:t>
      </w:r>
      <w:r>
        <w:rPr>
          <w:rFonts w:hint="default" w:ascii="Times New Roman" w:hAnsi="Times New Roman" w:eastAsia="仿宋_GB2312" w:cs="Times New Roman"/>
          <w:b/>
          <w:bCs/>
          <w:color w:val="000000"/>
          <w:kern w:val="0"/>
          <w:sz w:val="32"/>
          <w:szCs w:val="32"/>
          <w:highlight w:val="none"/>
          <w:lang w:val="en-US" w:eastAsia="zh-CN" w:bidi="ar"/>
        </w:rPr>
        <w:t>工程措施</w:t>
      </w:r>
      <w:r>
        <w:rPr>
          <w:rFonts w:hint="default" w:ascii="Times New Roman" w:hAnsi="Times New Roman" w:eastAsia="仿宋_GB2312" w:cs="Times New Roman"/>
          <w:color w:val="000000"/>
          <w:kern w:val="0"/>
          <w:sz w:val="32"/>
          <w:szCs w:val="32"/>
          <w:highlight w:val="none"/>
          <w:lang w:val="en-US" w:eastAsia="zh-CN" w:bidi="ar"/>
        </w:rPr>
        <w:t>：对平台和边坡进行土地整治，土地整治面积0.33hm</w:t>
      </w:r>
      <w:r>
        <w:rPr>
          <w:rFonts w:hint="default" w:ascii="Times New Roman" w:hAnsi="Times New Roman" w:eastAsia="仿宋_GB2312" w:cs="Times New Roman"/>
          <w:color w:val="000000"/>
          <w:kern w:val="0"/>
          <w:sz w:val="32"/>
          <w:szCs w:val="32"/>
          <w:highlight w:val="none"/>
          <w:vertAlign w:val="superscript"/>
          <w:lang w:val="en-US" w:eastAsia="zh-CN" w:bidi="ar"/>
        </w:rPr>
        <w:t>2</w:t>
      </w:r>
      <w:r>
        <w:rPr>
          <w:rFonts w:hint="eastAsia" w:ascii="Times New Roman" w:hAnsi="Times New Roman" w:eastAsia="仿宋_GB2312" w:cs="Times New Roman"/>
          <w:color w:val="000000"/>
          <w:kern w:val="0"/>
          <w:sz w:val="32"/>
          <w:szCs w:val="32"/>
          <w:highlight w:val="none"/>
          <w:lang w:val="en-US" w:eastAsia="zh-CN" w:bidi="ar"/>
        </w:rPr>
        <w:t>；平台周边设置挡水围埂，防护长度247m；边坡设置沙柳网格沙障护坡，措施面积0.09hm</w:t>
      </w:r>
      <w:r>
        <w:rPr>
          <w:rFonts w:hint="eastAsia" w:ascii="Times New Roman" w:hAnsi="Times New Roman" w:eastAsia="仿宋_GB2312" w:cs="Times New Roman"/>
          <w:color w:val="000000"/>
          <w:kern w:val="0"/>
          <w:sz w:val="32"/>
          <w:szCs w:val="32"/>
          <w:highlight w:val="none"/>
          <w:vertAlign w:val="superscript"/>
          <w:lang w:val="en-US" w:eastAsia="zh-CN" w:bidi="ar"/>
        </w:rPr>
        <w:t>2</w:t>
      </w:r>
      <w:r>
        <w:rPr>
          <w:rFonts w:hint="eastAsia" w:ascii="Times New Roman" w:hAnsi="Times New Roman" w:eastAsia="仿宋_GB2312" w:cs="Times New Roman"/>
          <w:color w:val="000000"/>
          <w:kern w:val="0"/>
          <w:sz w:val="32"/>
          <w:szCs w:val="32"/>
          <w:highlight w:val="none"/>
          <w:lang w:val="en-US" w:eastAsia="zh-CN" w:bidi="ar"/>
        </w:rPr>
        <w:t>（坡面面积0.12hm</w:t>
      </w:r>
      <w:r>
        <w:rPr>
          <w:rFonts w:hint="eastAsia" w:ascii="Times New Roman" w:hAnsi="Times New Roman" w:eastAsia="仿宋_GB2312" w:cs="Times New Roman"/>
          <w:color w:val="000000"/>
          <w:kern w:val="0"/>
          <w:sz w:val="32"/>
          <w:szCs w:val="32"/>
          <w:highlight w:val="none"/>
          <w:vertAlign w:val="superscript"/>
          <w:lang w:val="en-US" w:eastAsia="zh-CN" w:bidi="ar"/>
        </w:rPr>
        <w:t>2</w:t>
      </w:r>
      <w:r>
        <w:rPr>
          <w:rFonts w:hint="eastAsia" w:ascii="Times New Roman" w:hAnsi="Times New Roman" w:eastAsia="仿宋_GB2312" w:cs="Times New Roman"/>
          <w:color w:val="000000"/>
          <w:kern w:val="0"/>
          <w:sz w:val="32"/>
          <w:szCs w:val="32"/>
          <w:highlight w:val="none"/>
          <w:lang w:val="en-US" w:eastAsia="zh-CN" w:bidi="ar"/>
        </w:rPr>
        <w:t>）（新增）</w:t>
      </w:r>
      <w:r>
        <w:rPr>
          <w:rFonts w:hint="default" w:ascii="Times New Roman" w:hAnsi="Times New Roman" w:eastAsia="仿宋_GB2312" w:cs="Times New Roman"/>
          <w:color w:val="000000"/>
          <w:kern w:val="0"/>
          <w:sz w:val="32"/>
          <w:szCs w:val="32"/>
          <w:highlight w:val="none"/>
          <w:lang w:val="en-US" w:eastAsia="zh-CN" w:bidi="ar"/>
        </w:rPr>
        <w:t>。</w:t>
      </w:r>
      <w:r>
        <w:rPr>
          <w:rFonts w:hint="eastAsia" w:ascii="Times New Roman" w:hAnsi="Times New Roman" w:eastAsia="仿宋_GB2312" w:cs="Times New Roman"/>
          <w:b/>
          <w:bCs/>
          <w:color w:val="000000"/>
          <w:kern w:val="0"/>
          <w:sz w:val="32"/>
          <w:szCs w:val="32"/>
          <w:highlight w:val="none"/>
          <w:lang w:val="en-US" w:eastAsia="zh-CN" w:bidi="ar"/>
        </w:rPr>
        <w:t>植物措施：</w:t>
      </w:r>
      <w:r>
        <w:rPr>
          <w:rFonts w:hint="default" w:ascii="Times New Roman" w:hAnsi="Times New Roman" w:eastAsia="仿宋_GB2312" w:cs="Times New Roman"/>
          <w:color w:val="000000"/>
          <w:kern w:val="0"/>
          <w:sz w:val="32"/>
          <w:szCs w:val="32"/>
          <w:highlight w:val="none"/>
          <w:lang w:val="en-US" w:eastAsia="zh-CN" w:bidi="ar"/>
        </w:rPr>
        <w:t>平台实施造林种草措施</w:t>
      </w:r>
      <w:r>
        <w:rPr>
          <w:rFonts w:hint="eastAsia" w:ascii="Times New Roman" w:hAnsi="Times New Roman" w:eastAsia="仿宋_GB2312" w:cs="Times New Roman"/>
          <w:color w:val="000000"/>
          <w:kern w:val="0"/>
          <w:sz w:val="32"/>
          <w:szCs w:val="32"/>
          <w:highlight w:val="none"/>
          <w:lang w:val="en-US" w:eastAsia="zh-CN" w:bidi="ar"/>
        </w:rPr>
        <w:t>，</w:t>
      </w:r>
      <w:r>
        <w:rPr>
          <w:rFonts w:hint="default" w:ascii="Times New Roman" w:hAnsi="Times New Roman" w:eastAsia="仿宋_GB2312" w:cs="Times New Roman"/>
          <w:color w:val="000000"/>
          <w:kern w:val="0"/>
          <w:sz w:val="32"/>
          <w:szCs w:val="32"/>
          <w:highlight w:val="none"/>
          <w:lang w:val="en-US" w:eastAsia="zh-CN" w:bidi="ar"/>
        </w:rPr>
        <w:t>总绿化面积0.24hm</w:t>
      </w:r>
      <w:r>
        <w:rPr>
          <w:rFonts w:hint="default" w:ascii="Times New Roman" w:hAnsi="Times New Roman" w:eastAsia="仿宋_GB2312" w:cs="Times New Roman"/>
          <w:color w:val="000000"/>
          <w:kern w:val="0"/>
          <w:sz w:val="32"/>
          <w:szCs w:val="32"/>
          <w:highlight w:val="none"/>
          <w:vertAlign w:val="superscript"/>
          <w:lang w:val="en-US" w:eastAsia="zh-CN" w:bidi="ar"/>
        </w:rPr>
        <w:t>2</w:t>
      </w:r>
      <w:r>
        <w:rPr>
          <w:rFonts w:hint="eastAsia" w:ascii="Times New Roman" w:hAnsi="Times New Roman" w:eastAsia="仿宋_GB2312" w:cs="Times New Roman"/>
          <w:color w:val="000000"/>
          <w:kern w:val="0"/>
          <w:sz w:val="32"/>
          <w:szCs w:val="32"/>
          <w:highlight w:val="none"/>
          <w:lang w:val="en-US" w:eastAsia="zh-CN" w:bidi="ar"/>
        </w:rPr>
        <w:t>；平台的周边挡水围埂实施造林种草措施，总绿化面积0.07hm</w:t>
      </w:r>
      <w:r>
        <w:rPr>
          <w:rFonts w:hint="eastAsia" w:ascii="Times New Roman" w:hAnsi="Times New Roman" w:eastAsia="仿宋_GB2312" w:cs="Times New Roman"/>
          <w:color w:val="000000"/>
          <w:kern w:val="0"/>
          <w:sz w:val="32"/>
          <w:szCs w:val="32"/>
          <w:highlight w:val="none"/>
          <w:vertAlign w:val="superscript"/>
          <w:lang w:val="en-US" w:eastAsia="zh-CN" w:bidi="ar"/>
        </w:rPr>
        <w:t>2</w:t>
      </w:r>
      <w:r>
        <w:rPr>
          <w:rFonts w:hint="eastAsia" w:ascii="Times New Roman" w:hAnsi="Times New Roman" w:eastAsia="仿宋_GB2312" w:cs="Times New Roman"/>
          <w:color w:val="000000"/>
          <w:kern w:val="0"/>
          <w:sz w:val="32"/>
          <w:szCs w:val="32"/>
          <w:highlight w:val="none"/>
          <w:lang w:val="en-US" w:eastAsia="zh-CN" w:bidi="ar"/>
        </w:rPr>
        <w:t>；沙柳网格边坡内实施撒播种草措施，措施面积0.09hm</w:t>
      </w:r>
      <w:r>
        <w:rPr>
          <w:rFonts w:hint="eastAsia" w:ascii="Times New Roman" w:hAnsi="Times New Roman" w:eastAsia="仿宋_GB2312" w:cs="Times New Roman"/>
          <w:color w:val="000000"/>
          <w:kern w:val="0"/>
          <w:sz w:val="32"/>
          <w:szCs w:val="32"/>
          <w:highlight w:val="none"/>
          <w:vertAlign w:val="superscript"/>
          <w:lang w:val="en-US" w:eastAsia="zh-CN" w:bidi="ar"/>
        </w:rPr>
        <w:t>2</w:t>
      </w:r>
      <w:r>
        <w:rPr>
          <w:rFonts w:hint="eastAsia" w:ascii="Times New Roman" w:hAnsi="Times New Roman" w:eastAsia="仿宋_GB2312" w:cs="Times New Roman"/>
          <w:color w:val="000000"/>
          <w:kern w:val="0"/>
          <w:sz w:val="32"/>
          <w:szCs w:val="32"/>
          <w:highlight w:val="none"/>
          <w:lang w:val="en-US" w:eastAsia="zh-CN" w:bidi="ar"/>
        </w:rPr>
        <w:t>（坡面面积0.12hm</w:t>
      </w:r>
      <w:r>
        <w:rPr>
          <w:rFonts w:hint="eastAsia" w:ascii="Times New Roman" w:hAnsi="Times New Roman" w:eastAsia="仿宋_GB2312" w:cs="Times New Roman"/>
          <w:color w:val="000000"/>
          <w:kern w:val="0"/>
          <w:sz w:val="32"/>
          <w:szCs w:val="32"/>
          <w:highlight w:val="none"/>
          <w:vertAlign w:val="superscript"/>
          <w:lang w:val="en-US" w:eastAsia="zh-CN" w:bidi="ar"/>
        </w:rPr>
        <w:t>2</w:t>
      </w:r>
      <w:r>
        <w:rPr>
          <w:rFonts w:hint="eastAsia" w:ascii="Times New Roman" w:hAnsi="Times New Roman" w:eastAsia="仿宋_GB2312" w:cs="Times New Roman"/>
          <w:color w:val="000000"/>
          <w:kern w:val="0"/>
          <w:sz w:val="32"/>
          <w:szCs w:val="32"/>
          <w:highlight w:val="none"/>
          <w:lang w:val="en-US" w:eastAsia="zh-CN" w:bidi="ar"/>
        </w:rPr>
        <w:t>）。</w:t>
      </w:r>
    </w:p>
    <w:p w14:paraId="13E42A4E">
      <w:pPr>
        <w:keepNext w:val="0"/>
        <w:keepLines w:val="0"/>
        <w:pageBreakBefore w:val="0"/>
        <w:numPr>
          <w:ilvl w:val="0"/>
          <w:numId w:val="0"/>
        </w:numPr>
        <w:kinsoku/>
        <w:wordWrap/>
        <w:overflowPunct/>
        <w:topLinePunct w:val="0"/>
        <w:autoSpaceDE/>
        <w:autoSpaceDN/>
        <w:bidi w:val="0"/>
        <w:snapToGrid w:val="0"/>
        <w:spacing w:line="540" w:lineRule="exact"/>
        <w:ind w:firstLine="640" w:firstLineChars="200"/>
        <w:rPr>
          <w:rFonts w:hint="default" w:ascii="Times New Roman" w:hAnsi="Times New Roman" w:eastAsia="仿宋" w:cs="Times New Roman"/>
          <w:b/>
          <w:bCs/>
          <w:sz w:val="32"/>
          <w:szCs w:val="32"/>
          <w:lang w:eastAsia="zh-CN"/>
        </w:rPr>
      </w:pPr>
      <w:r>
        <w:rPr>
          <w:rFonts w:hint="eastAsia" w:ascii="黑体" w:hAnsi="黑体" w:eastAsia="黑体" w:cs="黑体"/>
          <w:b w:val="0"/>
          <w:bCs w:val="0"/>
          <w:sz w:val="32"/>
          <w:szCs w:val="32"/>
          <w:lang w:eastAsia="zh-CN"/>
        </w:rPr>
        <w:t>六、水土保持投资</w:t>
      </w:r>
    </w:p>
    <w:p w14:paraId="61E8EF8F">
      <w:pPr>
        <w:keepNext w:val="0"/>
        <w:keepLines w:val="0"/>
        <w:pageBreakBefore w:val="0"/>
        <w:kinsoku/>
        <w:wordWrap/>
        <w:overflowPunct/>
        <w:topLinePunct w:val="0"/>
        <w:autoSpaceDE/>
        <w:autoSpaceDN/>
        <w:bidi w:val="0"/>
        <w:spacing w:line="540" w:lineRule="exact"/>
        <w:ind w:firstLine="640" w:firstLineChars="200"/>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基本同意水土保持投资估算编制原则、依据及方法。基本同意外排土场补充后的水土保持估算总投资为92.17万元，其中工程措施15.36万元，植物措施18.73万元，监测措施23.93万元，施工临时工程1.64万元，独立费用20.38万元（其中工程建设监理费4.0万元，水土保持竣工验收费5万元），基本预备费8.0万元，水土保持补偿费4.131万元（本次补充报告书水土保持补偿费征收面积为2.43公顷）。</w:t>
      </w:r>
    </w:p>
    <w:p w14:paraId="7D5BB9F0">
      <w:pPr>
        <w:keepNext w:val="0"/>
        <w:keepLines w:val="0"/>
        <w:pageBreakBefore w:val="0"/>
        <w:kinsoku/>
        <w:wordWrap/>
        <w:overflowPunct/>
        <w:topLinePunct w:val="0"/>
        <w:autoSpaceDE/>
        <w:autoSpaceDN/>
        <w:bidi w:val="0"/>
        <w:spacing w:line="54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七、建设单位在工程建设中应重点做好以下工作</w:t>
      </w:r>
    </w:p>
    <w:p w14:paraId="40A53D01">
      <w:pPr>
        <w:keepNext w:val="0"/>
        <w:keepLines w:val="0"/>
        <w:pageBreakBefore w:val="0"/>
        <w:widowControl/>
        <w:suppressLineNumbers w:val="0"/>
        <w:kinsoku/>
        <w:wordWrap/>
        <w:overflowPunct/>
        <w:topLinePunct w:val="0"/>
        <w:autoSpaceDE/>
        <w:autoSpaceDN/>
        <w:bidi w:val="0"/>
        <w:adjustRightInd/>
        <w:snapToGrid/>
        <w:spacing w:line="540" w:lineRule="exact"/>
        <w:ind w:firstLine="620" w:firstLineChars="200"/>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 w:cs="Times New Roman"/>
          <w:color w:val="000000"/>
          <w:kern w:val="0"/>
          <w:sz w:val="31"/>
          <w:szCs w:val="31"/>
          <w:lang w:val="en-US" w:eastAsia="zh-CN" w:bidi="ar"/>
        </w:rPr>
        <w:t>（</w:t>
      </w:r>
      <w:r>
        <w:rPr>
          <w:rFonts w:hint="default" w:ascii="Times New Roman" w:hAnsi="Times New Roman" w:eastAsia="仿宋_GB2312" w:cs="Times New Roman"/>
          <w:color w:val="000000"/>
          <w:kern w:val="0"/>
          <w:sz w:val="32"/>
          <w:szCs w:val="32"/>
          <w:lang w:val="en-US" w:eastAsia="zh-CN" w:bidi="ar"/>
        </w:rPr>
        <w:t>一）生产建设单位在项目建设中应全面落实《中华人民共和国水土保持法》的各项要求，按照批准的水土保持方案，认真落实各项水土保持措施，在各项水土保持措施完成后，及时组织水土保持方案专项自主验收，并按水利部相关文件要求到我局报备。</w:t>
      </w:r>
    </w:p>
    <w:p w14:paraId="220DBDE1">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（二）本工程建设中各类施工活动严格限定在用地范围内，</w:t>
      </w:r>
    </w:p>
    <w:p w14:paraId="1DB4450B">
      <w:pPr>
        <w:keepNext w:val="0"/>
        <w:keepLines w:val="0"/>
        <w:pageBreakBefore w:val="0"/>
        <w:widowControl/>
        <w:suppressLineNumbers w:val="0"/>
        <w:kinsoku/>
        <w:wordWrap/>
        <w:overflowPunct/>
        <w:topLinePunct w:val="0"/>
        <w:autoSpaceDE/>
        <w:autoSpaceDN/>
        <w:bidi w:val="0"/>
        <w:adjustRightInd/>
        <w:snapToGrid/>
        <w:spacing w:line="540" w:lineRule="exact"/>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禁止随意占压、扰动和破坏地表。</w:t>
      </w:r>
    </w:p>
    <w:p w14:paraId="54A32005">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三）建设单位作为安全运行责任主体，对主体工程和水土保持方案设计的各项水土保持措施的安全运行全权负责，在建设、运行及后期管理期间要适时巡查监测，及时消除隐患，确保各项工程及防护措施安全运行，发挥正常效益。</w:t>
      </w:r>
    </w:p>
    <w:p w14:paraId="52768C2C">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（四）按相关要求及时开展水土保持监测工作，并向旗（区）水行政主管部门提交监测季度报告及总结报告。</w:t>
      </w:r>
    </w:p>
    <w:p w14:paraId="54B748F9">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（五）落实并做好水土保持监理工作，确保水土保持工程建设质量。</w:t>
      </w:r>
    </w:p>
    <w:p w14:paraId="3D0D9118">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（六）依法依规足额缴纳水土保持补偿费</w:t>
      </w:r>
      <w:r>
        <w:rPr>
          <w:rFonts w:hint="eastAsia" w:ascii="Times New Roman" w:hAnsi="Times New Roman" w:eastAsia="仿宋_GB2312" w:cs="Times New Roman"/>
          <w:color w:val="000000"/>
          <w:kern w:val="0"/>
          <w:sz w:val="32"/>
          <w:szCs w:val="32"/>
          <w:lang w:val="en-US" w:eastAsia="zh-CN" w:bidi="ar"/>
        </w:rPr>
        <w:t>。</w:t>
      </w:r>
    </w:p>
    <w:p w14:paraId="2A3041E1">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七）本项目的规模如发生重大变化，或者水土保持方案实施过程中水土保持措施发生重大变更，应补充或者修改水土保持方案，报我局审批。在生产过程中如需新设弃渣场，应在弃渣前编制水土保持方案，报我局审批。</w:t>
      </w:r>
    </w:p>
    <w:p w14:paraId="29920955">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（八）水土保持方案自批准之日起满 3 年，生产建设项目方开工建设的，其水土保持方案应当报原审批部门重新审核。</w:t>
      </w:r>
    </w:p>
    <w:p w14:paraId="2520EE99">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九）生产建设单位要按照《水利部关于加强事中事后监管规范生产建设项目水土保持设施自主验收的通知》（水保〔2017〕365号）文件要求，严格执行水土保持设施验收标准和条件，在水土保持设施验收合格后，向社会公开并向我局报备。</w:t>
      </w:r>
    </w:p>
    <w:p w14:paraId="63B4CFB6">
      <w:pPr>
        <w:pStyle w:val="17"/>
        <w:rPr>
          <w:rFonts w:hint="default" w:ascii="Times New Roman" w:hAnsi="Times New Roman" w:eastAsia="仿宋_GB2312" w:cs="Times New Roman"/>
          <w:color w:val="000000"/>
          <w:kern w:val="0"/>
          <w:sz w:val="32"/>
          <w:szCs w:val="32"/>
          <w:lang w:val="en-US" w:eastAsia="zh-CN" w:bidi="ar"/>
        </w:rPr>
      </w:pPr>
    </w:p>
    <w:p w14:paraId="411D9048">
      <w:pPr>
        <w:rPr>
          <w:rFonts w:hint="default"/>
          <w:lang w:val="en-US" w:eastAsia="zh-CN"/>
        </w:rPr>
      </w:pPr>
    </w:p>
    <w:p w14:paraId="1A67C326">
      <w:pPr>
        <w:keepNext w:val="0"/>
        <w:keepLines w:val="0"/>
        <w:widowControl/>
        <w:suppressLineNumbers w:val="0"/>
        <w:ind w:firstLine="4960" w:firstLineChars="1600"/>
        <w:jc w:val="left"/>
        <w:rPr>
          <w:rFonts w:hint="default" w:ascii="Times New Roman" w:hAnsi="Times New Roman" w:eastAsia="仿宋" w:cs="Times New Roman"/>
          <w:color w:val="000000"/>
          <w:kern w:val="0"/>
          <w:sz w:val="31"/>
          <w:szCs w:val="31"/>
          <w:lang w:val="en-US" w:eastAsia="zh-CN" w:bidi="ar"/>
        </w:rPr>
      </w:pPr>
      <w:r>
        <w:rPr>
          <w:rFonts w:hint="default" w:ascii="Times New Roman" w:hAnsi="Times New Roman" w:eastAsia="仿宋" w:cs="Times New Roman"/>
          <w:color w:val="000000"/>
          <w:kern w:val="0"/>
          <w:sz w:val="31"/>
          <w:szCs w:val="31"/>
          <w:lang w:val="en-US" w:eastAsia="zh-CN" w:bidi="ar"/>
        </w:rPr>
        <w:t>达拉特旗水利局</w:t>
      </w:r>
    </w:p>
    <w:p w14:paraId="28307827">
      <w:pPr>
        <w:keepNext w:val="0"/>
        <w:keepLines w:val="0"/>
        <w:widowControl/>
        <w:suppressLineNumbers w:val="0"/>
        <w:ind w:firstLine="4960" w:firstLineChars="1600"/>
        <w:jc w:val="left"/>
        <w:rPr>
          <w:rFonts w:hint="default" w:ascii="Times New Roman" w:hAnsi="Times New Roman" w:eastAsia="仿宋" w:cs="Times New Roman"/>
          <w:color w:val="000000"/>
          <w:kern w:val="0"/>
          <w:sz w:val="31"/>
          <w:szCs w:val="31"/>
          <w:lang w:val="en-US" w:eastAsia="zh-CN" w:bidi="ar"/>
        </w:rPr>
      </w:pPr>
      <w:r>
        <w:rPr>
          <w:rFonts w:hint="default" w:ascii="Times New Roman" w:hAnsi="Times New Roman" w:eastAsia="仿宋" w:cs="Times New Roman"/>
          <w:color w:val="000000"/>
          <w:kern w:val="0"/>
          <w:sz w:val="31"/>
          <w:szCs w:val="31"/>
          <w:lang w:val="en-US" w:eastAsia="zh-CN" w:bidi="ar"/>
        </w:rPr>
        <w:t>202</w:t>
      </w:r>
      <w:r>
        <w:rPr>
          <w:rFonts w:hint="eastAsia" w:ascii="Times New Roman" w:hAnsi="Times New Roman" w:eastAsia="仿宋" w:cs="Times New Roman"/>
          <w:color w:val="000000"/>
          <w:kern w:val="0"/>
          <w:sz w:val="31"/>
          <w:szCs w:val="31"/>
          <w:lang w:val="en-US" w:eastAsia="zh-CN" w:bidi="ar"/>
        </w:rPr>
        <w:t>6</w:t>
      </w:r>
      <w:r>
        <w:rPr>
          <w:rFonts w:hint="default" w:ascii="Times New Roman" w:hAnsi="Times New Roman" w:eastAsia="仿宋" w:cs="Times New Roman"/>
          <w:color w:val="000000"/>
          <w:kern w:val="0"/>
          <w:sz w:val="31"/>
          <w:szCs w:val="31"/>
          <w:lang w:val="en-US" w:eastAsia="zh-CN" w:bidi="ar"/>
        </w:rPr>
        <w:t>年</w:t>
      </w:r>
      <w:r>
        <w:rPr>
          <w:rFonts w:hint="eastAsia" w:ascii="Times New Roman" w:hAnsi="Times New Roman" w:eastAsia="仿宋" w:cs="Times New Roman"/>
          <w:color w:val="000000"/>
          <w:kern w:val="0"/>
          <w:sz w:val="31"/>
          <w:szCs w:val="31"/>
          <w:lang w:val="en-US" w:eastAsia="zh-CN" w:bidi="ar"/>
        </w:rPr>
        <w:t>8</w:t>
      </w:r>
      <w:r>
        <w:rPr>
          <w:rFonts w:hint="default" w:ascii="Times New Roman" w:hAnsi="Times New Roman" w:eastAsia="仿宋" w:cs="Times New Roman"/>
          <w:color w:val="000000"/>
          <w:kern w:val="0"/>
          <w:sz w:val="31"/>
          <w:szCs w:val="31"/>
          <w:lang w:val="en-US" w:eastAsia="zh-CN" w:bidi="ar"/>
        </w:rPr>
        <w:t>月</w:t>
      </w:r>
      <w:r>
        <w:rPr>
          <w:rFonts w:hint="eastAsia" w:ascii="Times New Roman" w:hAnsi="Times New Roman" w:eastAsia="仿宋" w:cs="Times New Roman"/>
          <w:color w:val="000000"/>
          <w:kern w:val="0"/>
          <w:sz w:val="31"/>
          <w:szCs w:val="31"/>
          <w:lang w:val="en-US" w:eastAsia="zh-CN" w:bidi="ar"/>
        </w:rPr>
        <w:t>4</w:t>
      </w:r>
      <w:r>
        <w:rPr>
          <w:rFonts w:hint="default" w:ascii="Times New Roman" w:hAnsi="Times New Roman" w:eastAsia="仿宋" w:cs="Times New Roman"/>
          <w:color w:val="000000"/>
          <w:kern w:val="0"/>
          <w:sz w:val="31"/>
          <w:szCs w:val="31"/>
          <w:lang w:val="en-US" w:eastAsia="zh-CN" w:bidi="ar"/>
        </w:rPr>
        <w:t xml:space="preserve">日    </w:t>
      </w:r>
    </w:p>
    <w:p w14:paraId="3F77B976">
      <w:pPr>
        <w:pStyle w:val="17"/>
        <w:rPr>
          <w:rFonts w:hint="default" w:ascii="Times New Roman" w:hAnsi="Times New Roman" w:eastAsia="仿宋" w:cs="Times New Roman"/>
          <w:color w:val="000000"/>
          <w:kern w:val="0"/>
          <w:sz w:val="31"/>
          <w:szCs w:val="31"/>
          <w:lang w:val="en-US" w:eastAsia="zh-CN" w:bidi="ar"/>
        </w:rPr>
      </w:pPr>
    </w:p>
    <w:p w14:paraId="515CFBF0">
      <w:pPr>
        <w:rPr>
          <w:rFonts w:hint="default" w:ascii="Times New Roman" w:hAnsi="Times New Roman" w:eastAsia="仿宋" w:cs="Times New Roman"/>
          <w:color w:val="000000"/>
          <w:kern w:val="0"/>
          <w:sz w:val="31"/>
          <w:szCs w:val="31"/>
          <w:lang w:val="en-US" w:eastAsia="zh-CN" w:bidi="ar"/>
        </w:rPr>
      </w:pPr>
    </w:p>
    <w:p w14:paraId="5E4C2968">
      <w:pPr>
        <w:pStyle w:val="17"/>
        <w:ind w:left="0" w:leftChars="0" w:firstLine="0" w:firstLineChars="0"/>
        <w:rPr>
          <w:rFonts w:hint="default" w:ascii="Times New Roman" w:hAnsi="Times New Roman" w:eastAsia="仿宋" w:cs="Times New Roman"/>
          <w:color w:val="000000"/>
          <w:kern w:val="0"/>
          <w:sz w:val="31"/>
          <w:szCs w:val="31"/>
          <w:lang w:val="en-US" w:eastAsia="zh-CN" w:bidi="ar"/>
        </w:rPr>
      </w:pPr>
    </w:p>
    <w:p w14:paraId="756BFD8A">
      <w:pPr>
        <w:rPr>
          <w:rFonts w:hint="default" w:ascii="Times New Roman" w:hAnsi="Times New Roman" w:eastAsia="仿宋" w:cs="Times New Roman"/>
          <w:color w:val="000000"/>
          <w:kern w:val="0"/>
          <w:sz w:val="31"/>
          <w:szCs w:val="31"/>
          <w:lang w:val="en-US" w:eastAsia="zh-CN" w:bidi="ar"/>
        </w:rPr>
      </w:pPr>
    </w:p>
    <w:p w14:paraId="5E8B3ED7">
      <w:pPr>
        <w:rPr>
          <w:rFonts w:hint="default" w:ascii="Times New Roman" w:hAnsi="Times New Roman" w:eastAsia="仿宋" w:cs="Times New Roman"/>
          <w:color w:val="000000"/>
          <w:kern w:val="0"/>
          <w:sz w:val="31"/>
          <w:szCs w:val="31"/>
          <w:lang w:val="en-US" w:eastAsia="zh-CN" w:bidi="ar"/>
        </w:rPr>
      </w:pPr>
    </w:p>
    <w:p w14:paraId="7C2C5770">
      <w:pPr>
        <w:rPr>
          <w:rFonts w:hint="default" w:ascii="Times New Roman" w:hAnsi="Times New Roman" w:eastAsia="仿宋" w:cs="Times New Roman"/>
          <w:color w:val="000000"/>
          <w:kern w:val="0"/>
          <w:sz w:val="31"/>
          <w:szCs w:val="31"/>
          <w:lang w:val="en-US" w:eastAsia="zh-CN" w:bidi="ar"/>
        </w:rPr>
      </w:pPr>
    </w:p>
    <w:p w14:paraId="0DFC491A">
      <w:pPr>
        <w:pStyle w:val="17"/>
        <w:rPr>
          <w:rFonts w:hint="default"/>
          <w:lang w:val="en-US" w:eastAsia="zh-CN"/>
        </w:rPr>
      </w:pPr>
    </w:p>
    <w:p w14:paraId="3742285C">
      <w:pPr>
        <w:spacing w:line="600" w:lineRule="exact"/>
        <w:rPr>
          <w:rFonts w:hint="default" w:ascii="Times New Roman" w:hAnsi="Times New Roman" w:eastAsia="仿宋_GB2312" w:cs="Times New Roman"/>
          <w:color w:val="auto"/>
          <w:sz w:val="28"/>
          <w:szCs w:val="28"/>
          <w:lang w:val="en-US"/>
        </w:rPr>
      </w:pPr>
      <w:r>
        <w:rPr>
          <w:rFonts w:hint="default" w:ascii="Times New Roman" w:hAnsi="Times New Roman" w:cs="Times New Roman"/>
          <w:sz w:val="28"/>
        </w:rPr>
        <w:pict>
          <v:line id="_x0000_s1039" o:spid="_x0000_s1039" o:spt="20" style="position:absolute;left:0pt;margin-left:3.95pt;margin-top:6.5pt;height:0.05pt;width:406.7pt;z-index:251661312;mso-width-relative:page;mso-height-relative:page;" fillcolor="#FFFFFF" filled="t" stroked="t" coordsize="21600,21600">
            <v:path arrowok="t"/>
            <v:fill on="t" focussize="0,0"/>
            <v:stroke weight="0.25pt"/>
            <v:imagedata o:title=""/>
            <o:lock v:ext="edit" aspectratio="f"/>
          </v:line>
        </w:pict>
      </w:r>
      <w:r>
        <w:rPr>
          <w:rFonts w:hint="default" w:ascii="Times New Roman" w:hAnsi="Times New Roman" w:eastAsia="仿宋_GB2312" w:cs="Times New Roman"/>
          <w:color w:val="auto"/>
          <w:sz w:val="28"/>
          <w:szCs w:val="28"/>
        </w:rPr>
        <w:pict>
          <v:line id="Line 3" o:spid="_x0000_s1040" o:spt="20" style="position:absolute;left:0pt;margin-left:-0.75pt;margin-top:29.05pt;height:0.05pt;width:411.6pt;z-index:251662336;mso-width-relative:page;mso-height-relative:page;" filled="f" stroked="t" coordsize="21600,21600" o:gfxdata="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LyLO99YAAAAGAQAADwAAAAAAAAABACAAAAAiAAAAZHJzL2Rvd25yZXYueG1s&#10;UEsBAhQAFAAAAAgAh07iQHIKLOTBAQAAjgMAAA4AAAAAAAAAAQAgAAAAJQEAAGRycy9lMm9Eb2Mu&#10;eG1sUEsFBgAAAAAGAAYAWQEAAFgFAAAAAA==&#10;">
            <v:path arrowok="t"/>
            <v:fill on="f" focussize="0,0"/>
            <v:stroke weight="1pt" joinstyle="round"/>
            <v:imagedata o:title=""/>
            <o:lock v:ext="edit" aspectratio="f"/>
          </v:line>
        </w:pict>
      </w:r>
      <w:r>
        <w:rPr>
          <w:rFonts w:hint="default" w:ascii="Times New Roman" w:hAnsi="Times New Roman" w:eastAsia="仿宋_GB2312" w:cs="Times New Roman"/>
          <w:color w:val="auto"/>
          <w:sz w:val="28"/>
          <w:szCs w:val="28"/>
        </w:rPr>
        <w:t xml:space="preserve"> </w:t>
      </w:r>
      <w:r>
        <w:rPr>
          <w:rFonts w:hint="default" w:ascii="Times New Roman" w:hAnsi="Times New Roman" w:eastAsia="仿宋_GB2312" w:cs="Times New Roman"/>
          <w:color w:val="auto"/>
          <w:sz w:val="28"/>
          <w:szCs w:val="28"/>
          <w:lang w:val="en-US" w:eastAsia="zh-CN"/>
        </w:rPr>
        <w:t xml:space="preserve"> 抄送：达拉特旗农牧业综合行政执法大队</w:t>
      </w:r>
      <w:r>
        <w:rPr>
          <w:rFonts w:hint="eastAsia" w:ascii="Times New Roman" w:hAnsi="Times New Roman" w:eastAsia="仿宋_GB2312" w:cs="Times New Roman"/>
          <w:color w:val="auto"/>
          <w:sz w:val="28"/>
          <w:szCs w:val="28"/>
          <w:lang w:val="en-US" w:eastAsia="zh-CN"/>
        </w:rPr>
        <w:t>。</w:t>
      </w:r>
    </w:p>
    <w:p w14:paraId="22273AC4">
      <w:pPr>
        <w:snapToGrid w:val="0"/>
        <w:spacing w:line="360" w:lineRule="auto"/>
        <w:ind w:right="210" w:rightChars="100" w:firstLine="280" w:firstLineChars="100"/>
        <w:rPr>
          <w:rFonts w:hint="default" w:ascii="Times New Roman" w:hAnsi="Times New Roman" w:cs="Times New Roman"/>
          <w:color w:val="auto"/>
        </w:rPr>
      </w:pPr>
      <w:r>
        <w:rPr>
          <w:rFonts w:hint="default" w:ascii="Times New Roman" w:hAnsi="Times New Roman" w:eastAsia="仿宋_GB2312" w:cs="Times New Roman"/>
          <w:color w:val="auto"/>
          <w:sz w:val="28"/>
          <w:szCs w:val="28"/>
        </w:rPr>
        <w:pict>
          <v:line id="Line 4" o:spid="_x0000_s1041" o:spt="20" style="position:absolute;left:0pt;margin-left:0pt;margin-top:23pt;height:0.05pt;width:412.95pt;z-index:251660288;mso-width-relative:page;mso-height-relative:page;" filled="f" stroked="t" coordsize="21600,21600" o:gfxdata="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Avlp1G1gAAAAYBAAAPAAAAAAAAAAEAIAAAACIAAABkcnMvZG93bnJldi54&#10;bWxQSwECFAAUAAAACACHTuJAIV+HEsMBAACOAwAADgAAAAAAAAABACAAAAAlAQAAZHJzL2Uyb0Rv&#10;Yy54bWxQSwUGAAAAAAYABgBZAQAAWgUAAAAA&#10;">
            <v:path arrowok="t"/>
            <v:fill on="f" focussize="0,0"/>
            <v:stroke weight="1pt" joinstyle="round"/>
            <v:imagedata o:title=""/>
            <o:lock v:ext="edit" aspectratio="f"/>
          </v:line>
        </w:pict>
      </w:r>
      <w:r>
        <w:rPr>
          <w:rFonts w:hint="default" w:ascii="Times New Roman" w:hAnsi="Times New Roman" w:eastAsia="仿宋_GB2312" w:cs="Times New Roman"/>
          <w:color w:val="auto"/>
          <w:sz w:val="28"/>
          <w:szCs w:val="28"/>
        </w:rPr>
        <w:t>达拉特旗</w:t>
      </w:r>
      <w:r>
        <w:rPr>
          <w:rFonts w:hint="default" w:ascii="Times New Roman" w:hAnsi="Times New Roman" w:eastAsia="仿宋_GB2312" w:cs="Times New Roman"/>
          <w:color w:val="auto"/>
          <w:sz w:val="28"/>
          <w:szCs w:val="28"/>
          <w:lang w:eastAsia="zh-CN"/>
        </w:rPr>
        <w:t>水利局</w:t>
      </w:r>
      <w:r>
        <w:rPr>
          <w:rFonts w:hint="default" w:ascii="Times New Roman" w:hAnsi="Times New Roman" w:eastAsia="仿宋_GB2312" w:cs="Times New Roman"/>
          <w:color w:val="auto"/>
          <w:sz w:val="28"/>
          <w:szCs w:val="28"/>
          <w:lang w:val="en-US" w:eastAsia="zh-CN"/>
        </w:rPr>
        <w:t>审批</w:t>
      </w:r>
      <w:r>
        <w:rPr>
          <w:rFonts w:hint="default" w:ascii="Times New Roman" w:hAnsi="Times New Roman" w:eastAsia="仿宋_GB2312" w:cs="Times New Roman"/>
          <w:color w:val="auto"/>
          <w:sz w:val="28"/>
          <w:szCs w:val="28"/>
        </w:rPr>
        <w:t xml:space="preserve">室     </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 xml:space="preserve">  </w:t>
      </w:r>
      <w:r>
        <w:rPr>
          <w:rFonts w:hint="default" w:ascii="Times New Roman" w:hAnsi="Times New Roman" w:eastAsia="仿宋_GB2312" w:cs="Times New Roman"/>
          <w:color w:val="FF0000"/>
          <w:sz w:val="28"/>
          <w:szCs w:val="28"/>
        </w:rPr>
        <w:t xml:space="preserve"> </w:t>
      </w:r>
      <w:r>
        <w:rPr>
          <w:rFonts w:hint="default" w:ascii="Times New Roman" w:hAnsi="Times New Roman" w:eastAsia="仿宋_GB2312" w:cs="Times New Roman"/>
          <w:color w:val="auto"/>
          <w:sz w:val="28"/>
          <w:szCs w:val="28"/>
        </w:rPr>
        <w:t>20</w:t>
      </w:r>
      <w:r>
        <w:rPr>
          <w:rFonts w:hint="default" w:ascii="Times New Roman" w:hAnsi="Times New Roman" w:eastAsia="仿宋_GB2312" w:cs="Times New Roman"/>
          <w:color w:val="auto"/>
          <w:sz w:val="28"/>
          <w:szCs w:val="28"/>
          <w:lang w:val="en-US" w:eastAsia="zh-CN"/>
        </w:rPr>
        <w:t>2</w:t>
      </w:r>
      <w:r>
        <w:rPr>
          <w:rFonts w:hint="eastAsia"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lang w:val="en-US" w:eastAsia="zh-CN"/>
        </w:rPr>
        <w:t xml:space="preserve">年 </w:t>
      </w:r>
      <w:r>
        <w:rPr>
          <w:rFonts w:hint="eastAsia" w:ascii="Times New Roman" w:hAnsi="Times New Roman" w:eastAsia="仿宋_GB2312" w:cs="Times New Roman"/>
          <w:color w:val="auto"/>
          <w:sz w:val="28"/>
          <w:szCs w:val="28"/>
          <w:lang w:val="en-US" w:eastAsia="zh-CN"/>
        </w:rPr>
        <w:t>8</w:t>
      </w:r>
      <w:r>
        <w:rPr>
          <w:rFonts w:hint="default" w:ascii="Times New Roman" w:hAnsi="Times New Roman" w:eastAsia="仿宋_GB2312" w:cs="Times New Roman"/>
          <w:color w:val="auto"/>
          <w:sz w:val="28"/>
          <w:szCs w:val="28"/>
        </w:rPr>
        <w:t>月</w:t>
      </w:r>
      <w:r>
        <w:rPr>
          <w:rFonts w:hint="eastAsia" w:ascii="Times New Roman" w:hAnsi="Times New Roman" w:eastAsia="仿宋_GB2312" w:cs="Times New Roman"/>
          <w:color w:val="auto"/>
          <w:sz w:val="28"/>
          <w:szCs w:val="28"/>
          <w:lang w:val="en-US" w:eastAsia="zh-CN"/>
        </w:rPr>
        <w:t>4</w:t>
      </w:r>
      <w:bookmarkStart w:id="1" w:name="_GoBack"/>
      <w:bookmarkEnd w:id="1"/>
      <w:r>
        <w:rPr>
          <w:rFonts w:hint="default" w:ascii="Times New Roman" w:hAnsi="Times New Roman" w:eastAsia="仿宋_GB2312" w:cs="Times New Roman"/>
          <w:color w:val="auto"/>
          <w:sz w:val="28"/>
          <w:szCs w:val="28"/>
        </w:rPr>
        <w:t>日印</w:t>
      </w:r>
      <w:r>
        <w:rPr>
          <w:rFonts w:hint="default" w:ascii="Times New Roman" w:hAnsi="Times New Roman" w:eastAsia="仿宋_GB2312" w:cs="Times New Roman"/>
          <w:color w:val="auto"/>
          <w:sz w:val="28"/>
          <w:szCs w:val="28"/>
          <w:lang w:eastAsia="zh-CN"/>
        </w:rPr>
        <w:t>发</w:t>
      </w:r>
    </w:p>
    <w:sectPr>
      <w:footerReference r:id="rId3" w:type="default"/>
      <w:pgSz w:w="11906" w:h="16838"/>
      <w:pgMar w:top="1531"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F1">
    <w:altName w:val="Times New Roman"/>
    <w:panose1 w:val="00000000000000000000"/>
    <w:charset w:val="00"/>
    <w:family w:val="roman"/>
    <w:pitch w:val="default"/>
    <w:sig w:usb0="00000000" w:usb1="00000000" w:usb2="00000000"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3FF2F5">
    <w:pPr>
      <w:spacing w:line="164" w:lineRule="exact"/>
      <w:rPr>
        <w:rFonts w:ascii="Times New Roman" w:hAnsi="Times New Roman" w:eastAsia="Times New Roman" w:cs="Times New Roman"/>
        <w:sz w:val="24"/>
        <w:szCs w:val="24"/>
      </w:rPr>
    </w:pPr>
    <w:r>
      <w:rPr>
        <w:sz w:val="24"/>
      </w:rP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77D52B17">
                <w:pPr>
                  <w:pStyle w:val="13"/>
                </w:pPr>
                <w:r>
                  <w:fldChar w:fldCharType="begin"/>
                </w:r>
                <w:r>
                  <w:instrText xml:space="preserve"> PAGE  \* MERGEFORMAT </w:instrText>
                </w:r>
                <w:r>
                  <w:fldChar w:fldCharType="separate"/>
                </w:r>
                <w:r>
                  <w:t>- 1 -</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TNiNjJlZjFkYzI0MzNkZjkwODAzZDBkMjVlYWQ5YjYifQ=="/>
    <w:docVar w:name="KSO_WPS_MARK_KEY" w:val="bb968390-a863-4877-8806-582e0f05ae4c"/>
  </w:docVars>
  <w:rsids>
    <w:rsidRoot w:val="00416D77"/>
    <w:rsid w:val="00021DD2"/>
    <w:rsid w:val="00027D95"/>
    <w:rsid w:val="00034474"/>
    <w:rsid w:val="00044147"/>
    <w:rsid w:val="00066CCC"/>
    <w:rsid w:val="00082D2C"/>
    <w:rsid w:val="000F0B88"/>
    <w:rsid w:val="000F2572"/>
    <w:rsid w:val="000F526F"/>
    <w:rsid w:val="00102E40"/>
    <w:rsid w:val="00176728"/>
    <w:rsid w:val="001836E9"/>
    <w:rsid w:val="0019073E"/>
    <w:rsid w:val="00196A15"/>
    <w:rsid w:val="00204A79"/>
    <w:rsid w:val="0022354D"/>
    <w:rsid w:val="00244B82"/>
    <w:rsid w:val="002456DF"/>
    <w:rsid w:val="00274881"/>
    <w:rsid w:val="00280014"/>
    <w:rsid w:val="002802E3"/>
    <w:rsid w:val="002852D3"/>
    <w:rsid w:val="00314222"/>
    <w:rsid w:val="00342E2E"/>
    <w:rsid w:val="00357EAD"/>
    <w:rsid w:val="00383326"/>
    <w:rsid w:val="00384103"/>
    <w:rsid w:val="00384C72"/>
    <w:rsid w:val="0039495A"/>
    <w:rsid w:val="003A6BD9"/>
    <w:rsid w:val="003F4FE5"/>
    <w:rsid w:val="00400146"/>
    <w:rsid w:val="004040C8"/>
    <w:rsid w:val="00416D77"/>
    <w:rsid w:val="00431FB0"/>
    <w:rsid w:val="004658AF"/>
    <w:rsid w:val="00471585"/>
    <w:rsid w:val="004B5FEA"/>
    <w:rsid w:val="004C7E53"/>
    <w:rsid w:val="00500F0D"/>
    <w:rsid w:val="0050572E"/>
    <w:rsid w:val="00513689"/>
    <w:rsid w:val="00527418"/>
    <w:rsid w:val="00547B8F"/>
    <w:rsid w:val="00556F45"/>
    <w:rsid w:val="00571DA4"/>
    <w:rsid w:val="005726DC"/>
    <w:rsid w:val="00593D2B"/>
    <w:rsid w:val="005C7A32"/>
    <w:rsid w:val="005E7A0B"/>
    <w:rsid w:val="005F75E1"/>
    <w:rsid w:val="006103C5"/>
    <w:rsid w:val="006834B1"/>
    <w:rsid w:val="00686121"/>
    <w:rsid w:val="00687FA7"/>
    <w:rsid w:val="0069419A"/>
    <w:rsid w:val="0069727E"/>
    <w:rsid w:val="006B0A1C"/>
    <w:rsid w:val="006F2A3A"/>
    <w:rsid w:val="006F54D4"/>
    <w:rsid w:val="00720A5E"/>
    <w:rsid w:val="00756871"/>
    <w:rsid w:val="007A15E6"/>
    <w:rsid w:val="007A518B"/>
    <w:rsid w:val="007D1472"/>
    <w:rsid w:val="007D3BB3"/>
    <w:rsid w:val="007F016E"/>
    <w:rsid w:val="007F54D2"/>
    <w:rsid w:val="007F7876"/>
    <w:rsid w:val="0082184F"/>
    <w:rsid w:val="008316BC"/>
    <w:rsid w:val="008839C9"/>
    <w:rsid w:val="008A267D"/>
    <w:rsid w:val="008D2825"/>
    <w:rsid w:val="008E500E"/>
    <w:rsid w:val="008F13B6"/>
    <w:rsid w:val="008F7BBE"/>
    <w:rsid w:val="00900356"/>
    <w:rsid w:val="009406C7"/>
    <w:rsid w:val="00965A22"/>
    <w:rsid w:val="0098091D"/>
    <w:rsid w:val="009837D9"/>
    <w:rsid w:val="009B33DE"/>
    <w:rsid w:val="009B361E"/>
    <w:rsid w:val="009D773A"/>
    <w:rsid w:val="009F68F0"/>
    <w:rsid w:val="00A21E4D"/>
    <w:rsid w:val="00A30911"/>
    <w:rsid w:val="00A404C6"/>
    <w:rsid w:val="00A45EC8"/>
    <w:rsid w:val="00A6550E"/>
    <w:rsid w:val="00A95453"/>
    <w:rsid w:val="00AB09AB"/>
    <w:rsid w:val="00AE388F"/>
    <w:rsid w:val="00AF62CA"/>
    <w:rsid w:val="00B301B7"/>
    <w:rsid w:val="00B46728"/>
    <w:rsid w:val="00B61252"/>
    <w:rsid w:val="00B875BD"/>
    <w:rsid w:val="00BF31E6"/>
    <w:rsid w:val="00C1773E"/>
    <w:rsid w:val="00C34A3B"/>
    <w:rsid w:val="00C53E59"/>
    <w:rsid w:val="00C93144"/>
    <w:rsid w:val="00C9406D"/>
    <w:rsid w:val="00CB07D9"/>
    <w:rsid w:val="00CB74DC"/>
    <w:rsid w:val="00CF0D2A"/>
    <w:rsid w:val="00D03040"/>
    <w:rsid w:val="00D1586F"/>
    <w:rsid w:val="00D527E0"/>
    <w:rsid w:val="00D56019"/>
    <w:rsid w:val="00D760EE"/>
    <w:rsid w:val="00DB2482"/>
    <w:rsid w:val="00DC07BC"/>
    <w:rsid w:val="00E37E86"/>
    <w:rsid w:val="00E5268A"/>
    <w:rsid w:val="00E7436E"/>
    <w:rsid w:val="00EB515C"/>
    <w:rsid w:val="00EF0840"/>
    <w:rsid w:val="00F25687"/>
    <w:rsid w:val="00F45E62"/>
    <w:rsid w:val="00F54542"/>
    <w:rsid w:val="00F54760"/>
    <w:rsid w:val="00F55E1A"/>
    <w:rsid w:val="00F6108C"/>
    <w:rsid w:val="00F74660"/>
    <w:rsid w:val="00F930B4"/>
    <w:rsid w:val="012176A7"/>
    <w:rsid w:val="012346B7"/>
    <w:rsid w:val="01B30F99"/>
    <w:rsid w:val="01DE4EE9"/>
    <w:rsid w:val="01E02F29"/>
    <w:rsid w:val="01F91375"/>
    <w:rsid w:val="022E0268"/>
    <w:rsid w:val="02564A03"/>
    <w:rsid w:val="025C30F6"/>
    <w:rsid w:val="02F44773"/>
    <w:rsid w:val="032E25F5"/>
    <w:rsid w:val="03447F50"/>
    <w:rsid w:val="038016F5"/>
    <w:rsid w:val="03994A5E"/>
    <w:rsid w:val="03C423D0"/>
    <w:rsid w:val="03E6144D"/>
    <w:rsid w:val="03F4572B"/>
    <w:rsid w:val="040358FF"/>
    <w:rsid w:val="04577CE5"/>
    <w:rsid w:val="046B3039"/>
    <w:rsid w:val="04BA5E1C"/>
    <w:rsid w:val="04E14BD0"/>
    <w:rsid w:val="05194270"/>
    <w:rsid w:val="053D154A"/>
    <w:rsid w:val="0542129D"/>
    <w:rsid w:val="05456F4C"/>
    <w:rsid w:val="0557023A"/>
    <w:rsid w:val="056062DB"/>
    <w:rsid w:val="056E65E8"/>
    <w:rsid w:val="05833338"/>
    <w:rsid w:val="05BA3B13"/>
    <w:rsid w:val="06304A7B"/>
    <w:rsid w:val="06432B8F"/>
    <w:rsid w:val="06490896"/>
    <w:rsid w:val="06696BC1"/>
    <w:rsid w:val="07D47C34"/>
    <w:rsid w:val="08214C6A"/>
    <w:rsid w:val="082D270B"/>
    <w:rsid w:val="083139C1"/>
    <w:rsid w:val="08601003"/>
    <w:rsid w:val="08A705FC"/>
    <w:rsid w:val="092535FE"/>
    <w:rsid w:val="09471E7F"/>
    <w:rsid w:val="09912688"/>
    <w:rsid w:val="099873A5"/>
    <w:rsid w:val="09D547DA"/>
    <w:rsid w:val="09F3069E"/>
    <w:rsid w:val="0A031EA0"/>
    <w:rsid w:val="0A2E0E1D"/>
    <w:rsid w:val="0AD1176B"/>
    <w:rsid w:val="0AFF3FE0"/>
    <w:rsid w:val="0BA8345E"/>
    <w:rsid w:val="0BD81DFD"/>
    <w:rsid w:val="0C031CBF"/>
    <w:rsid w:val="0C4D1E2F"/>
    <w:rsid w:val="0C7F364B"/>
    <w:rsid w:val="0C840F9D"/>
    <w:rsid w:val="0D1439B3"/>
    <w:rsid w:val="0D171F84"/>
    <w:rsid w:val="0D1D3713"/>
    <w:rsid w:val="0D246507"/>
    <w:rsid w:val="0D2F198E"/>
    <w:rsid w:val="0D59791F"/>
    <w:rsid w:val="0D717D76"/>
    <w:rsid w:val="0D767A72"/>
    <w:rsid w:val="0D8508D0"/>
    <w:rsid w:val="0D8D6C0B"/>
    <w:rsid w:val="0DBF5657"/>
    <w:rsid w:val="0DC336FB"/>
    <w:rsid w:val="0DDC2F39"/>
    <w:rsid w:val="0DE7036E"/>
    <w:rsid w:val="0DFD6734"/>
    <w:rsid w:val="0E2F5D7E"/>
    <w:rsid w:val="0E415359"/>
    <w:rsid w:val="0E863682"/>
    <w:rsid w:val="0ED077EF"/>
    <w:rsid w:val="0F1503A2"/>
    <w:rsid w:val="0F700BC0"/>
    <w:rsid w:val="0FA5685F"/>
    <w:rsid w:val="10226E6C"/>
    <w:rsid w:val="10401F77"/>
    <w:rsid w:val="10D45A55"/>
    <w:rsid w:val="117C7CAB"/>
    <w:rsid w:val="11984429"/>
    <w:rsid w:val="11C65F78"/>
    <w:rsid w:val="11CD0FFB"/>
    <w:rsid w:val="11D57EDD"/>
    <w:rsid w:val="120C223D"/>
    <w:rsid w:val="12525E03"/>
    <w:rsid w:val="12695031"/>
    <w:rsid w:val="12942368"/>
    <w:rsid w:val="129D071B"/>
    <w:rsid w:val="12EE5BBC"/>
    <w:rsid w:val="13156511"/>
    <w:rsid w:val="132940E2"/>
    <w:rsid w:val="13A35305"/>
    <w:rsid w:val="13A96E11"/>
    <w:rsid w:val="13C11691"/>
    <w:rsid w:val="14182743"/>
    <w:rsid w:val="1426228F"/>
    <w:rsid w:val="144E576A"/>
    <w:rsid w:val="14754FA0"/>
    <w:rsid w:val="14A02DCF"/>
    <w:rsid w:val="158E52DA"/>
    <w:rsid w:val="15C15DC1"/>
    <w:rsid w:val="15C54614"/>
    <w:rsid w:val="160E3771"/>
    <w:rsid w:val="16107A4D"/>
    <w:rsid w:val="162D6387"/>
    <w:rsid w:val="16AB3398"/>
    <w:rsid w:val="16E66CA8"/>
    <w:rsid w:val="16F25BF5"/>
    <w:rsid w:val="16FF7344"/>
    <w:rsid w:val="17492B6A"/>
    <w:rsid w:val="175541D3"/>
    <w:rsid w:val="175C5B35"/>
    <w:rsid w:val="175F1BF3"/>
    <w:rsid w:val="177F3F63"/>
    <w:rsid w:val="17A259EB"/>
    <w:rsid w:val="17B04328"/>
    <w:rsid w:val="17D952DF"/>
    <w:rsid w:val="18000BA1"/>
    <w:rsid w:val="184024E5"/>
    <w:rsid w:val="18810900"/>
    <w:rsid w:val="18843358"/>
    <w:rsid w:val="19C31195"/>
    <w:rsid w:val="1A10695B"/>
    <w:rsid w:val="1A7B0725"/>
    <w:rsid w:val="1B1A6021"/>
    <w:rsid w:val="1B1D0891"/>
    <w:rsid w:val="1B1D4746"/>
    <w:rsid w:val="1B701BC9"/>
    <w:rsid w:val="1BDC36E4"/>
    <w:rsid w:val="1BFC75B7"/>
    <w:rsid w:val="1C154309"/>
    <w:rsid w:val="1C3561AE"/>
    <w:rsid w:val="1C4161F3"/>
    <w:rsid w:val="1CBA4F53"/>
    <w:rsid w:val="1D07394F"/>
    <w:rsid w:val="1D583751"/>
    <w:rsid w:val="1D643BD4"/>
    <w:rsid w:val="1D894809"/>
    <w:rsid w:val="1D9F7F99"/>
    <w:rsid w:val="1DC3033C"/>
    <w:rsid w:val="1E2E59FE"/>
    <w:rsid w:val="1E567668"/>
    <w:rsid w:val="1EC86EFB"/>
    <w:rsid w:val="1EE520A6"/>
    <w:rsid w:val="1F2A7299"/>
    <w:rsid w:val="1F412A39"/>
    <w:rsid w:val="1F5D5338"/>
    <w:rsid w:val="1F6227A3"/>
    <w:rsid w:val="1F9C7E9E"/>
    <w:rsid w:val="203F463E"/>
    <w:rsid w:val="20986C08"/>
    <w:rsid w:val="20ED22CF"/>
    <w:rsid w:val="20FA7CA7"/>
    <w:rsid w:val="21264386"/>
    <w:rsid w:val="214A3729"/>
    <w:rsid w:val="219C70A1"/>
    <w:rsid w:val="21BB569A"/>
    <w:rsid w:val="22103B97"/>
    <w:rsid w:val="22207C59"/>
    <w:rsid w:val="222705C8"/>
    <w:rsid w:val="22577506"/>
    <w:rsid w:val="22D22E42"/>
    <w:rsid w:val="232025A5"/>
    <w:rsid w:val="233018D6"/>
    <w:rsid w:val="233405C6"/>
    <w:rsid w:val="23370D3A"/>
    <w:rsid w:val="23462F2B"/>
    <w:rsid w:val="23E5437F"/>
    <w:rsid w:val="244F181B"/>
    <w:rsid w:val="24717D39"/>
    <w:rsid w:val="247A4D5F"/>
    <w:rsid w:val="248A62F0"/>
    <w:rsid w:val="248A723C"/>
    <w:rsid w:val="249E544E"/>
    <w:rsid w:val="24E020F0"/>
    <w:rsid w:val="24F10F33"/>
    <w:rsid w:val="25274D09"/>
    <w:rsid w:val="257E0222"/>
    <w:rsid w:val="263B2F02"/>
    <w:rsid w:val="26402578"/>
    <w:rsid w:val="26437493"/>
    <w:rsid w:val="279D6679"/>
    <w:rsid w:val="27C21BC1"/>
    <w:rsid w:val="27C72475"/>
    <w:rsid w:val="27FC7B73"/>
    <w:rsid w:val="288B722F"/>
    <w:rsid w:val="28AF305B"/>
    <w:rsid w:val="28D37F04"/>
    <w:rsid w:val="28F5537A"/>
    <w:rsid w:val="2922155C"/>
    <w:rsid w:val="29777981"/>
    <w:rsid w:val="2A170307"/>
    <w:rsid w:val="2ABE15D1"/>
    <w:rsid w:val="2AFE5BCB"/>
    <w:rsid w:val="2BA90673"/>
    <w:rsid w:val="2BDA2989"/>
    <w:rsid w:val="2BE7095E"/>
    <w:rsid w:val="2C406815"/>
    <w:rsid w:val="2C9B733B"/>
    <w:rsid w:val="2CC25275"/>
    <w:rsid w:val="2CFB73FF"/>
    <w:rsid w:val="2DFB343C"/>
    <w:rsid w:val="2E135CD8"/>
    <w:rsid w:val="2E324B49"/>
    <w:rsid w:val="2E4E06BC"/>
    <w:rsid w:val="2E505694"/>
    <w:rsid w:val="2E553938"/>
    <w:rsid w:val="2E5F0B8C"/>
    <w:rsid w:val="2EA36753"/>
    <w:rsid w:val="2F2A3FC6"/>
    <w:rsid w:val="2F8F3EA1"/>
    <w:rsid w:val="2FFE58DC"/>
    <w:rsid w:val="30411EB0"/>
    <w:rsid w:val="306010C3"/>
    <w:rsid w:val="30656241"/>
    <w:rsid w:val="30694EE9"/>
    <w:rsid w:val="30BC4505"/>
    <w:rsid w:val="3101042C"/>
    <w:rsid w:val="312B32FF"/>
    <w:rsid w:val="313D6BFF"/>
    <w:rsid w:val="31420BAE"/>
    <w:rsid w:val="31B3245B"/>
    <w:rsid w:val="320C2BE0"/>
    <w:rsid w:val="329A03DE"/>
    <w:rsid w:val="32DC3EBE"/>
    <w:rsid w:val="33052E73"/>
    <w:rsid w:val="339C1440"/>
    <w:rsid w:val="33D2477A"/>
    <w:rsid w:val="33E9274A"/>
    <w:rsid w:val="34ED4076"/>
    <w:rsid w:val="34FF01D5"/>
    <w:rsid w:val="350158F9"/>
    <w:rsid w:val="350E055F"/>
    <w:rsid w:val="350F344D"/>
    <w:rsid w:val="353F7A8B"/>
    <w:rsid w:val="35B85686"/>
    <w:rsid w:val="35FF5CF3"/>
    <w:rsid w:val="36184F27"/>
    <w:rsid w:val="365B5940"/>
    <w:rsid w:val="365E3131"/>
    <w:rsid w:val="36AA1A1D"/>
    <w:rsid w:val="374D731E"/>
    <w:rsid w:val="376E0AE1"/>
    <w:rsid w:val="379D0EEF"/>
    <w:rsid w:val="37B41116"/>
    <w:rsid w:val="37C420EC"/>
    <w:rsid w:val="37D312D1"/>
    <w:rsid w:val="382A263C"/>
    <w:rsid w:val="387D7206"/>
    <w:rsid w:val="391C7093"/>
    <w:rsid w:val="391D4354"/>
    <w:rsid w:val="3947572A"/>
    <w:rsid w:val="395442E9"/>
    <w:rsid w:val="397D0E24"/>
    <w:rsid w:val="39CF56BF"/>
    <w:rsid w:val="39DF63B8"/>
    <w:rsid w:val="3A124633"/>
    <w:rsid w:val="3A41052A"/>
    <w:rsid w:val="3AB100C5"/>
    <w:rsid w:val="3AC63D14"/>
    <w:rsid w:val="3B0B2044"/>
    <w:rsid w:val="3B141037"/>
    <w:rsid w:val="3B3F6234"/>
    <w:rsid w:val="3B5C7D59"/>
    <w:rsid w:val="3B606001"/>
    <w:rsid w:val="3B761719"/>
    <w:rsid w:val="3BE66F12"/>
    <w:rsid w:val="3C433B5C"/>
    <w:rsid w:val="3C9A7B68"/>
    <w:rsid w:val="3D3E73C3"/>
    <w:rsid w:val="3D53176E"/>
    <w:rsid w:val="3DED4DA8"/>
    <w:rsid w:val="3DF04A32"/>
    <w:rsid w:val="3DF06634"/>
    <w:rsid w:val="3DFC749B"/>
    <w:rsid w:val="3E441102"/>
    <w:rsid w:val="3E93792F"/>
    <w:rsid w:val="3E9B6D2E"/>
    <w:rsid w:val="3EC5725A"/>
    <w:rsid w:val="3F5A7746"/>
    <w:rsid w:val="3F7E7D58"/>
    <w:rsid w:val="3FA2402D"/>
    <w:rsid w:val="3FBE7495"/>
    <w:rsid w:val="3FC4365A"/>
    <w:rsid w:val="405A0E62"/>
    <w:rsid w:val="407F441E"/>
    <w:rsid w:val="40D1076D"/>
    <w:rsid w:val="40EC7F3E"/>
    <w:rsid w:val="412B5C2D"/>
    <w:rsid w:val="412C46B3"/>
    <w:rsid w:val="415A0EDD"/>
    <w:rsid w:val="420143D8"/>
    <w:rsid w:val="424A6050"/>
    <w:rsid w:val="424E7C19"/>
    <w:rsid w:val="429C6972"/>
    <w:rsid w:val="42C33578"/>
    <w:rsid w:val="431662B2"/>
    <w:rsid w:val="43842D4F"/>
    <w:rsid w:val="43DC589E"/>
    <w:rsid w:val="44143F62"/>
    <w:rsid w:val="4414436D"/>
    <w:rsid w:val="445B0D2C"/>
    <w:rsid w:val="44FA05EA"/>
    <w:rsid w:val="454E1E7D"/>
    <w:rsid w:val="45A06CCF"/>
    <w:rsid w:val="46A21068"/>
    <w:rsid w:val="46B25817"/>
    <w:rsid w:val="46BA5754"/>
    <w:rsid w:val="46BF224D"/>
    <w:rsid w:val="46EE2A12"/>
    <w:rsid w:val="475970A9"/>
    <w:rsid w:val="477056E0"/>
    <w:rsid w:val="47795679"/>
    <w:rsid w:val="477C03B2"/>
    <w:rsid w:val="47D748C8"/>
    <w:rsid w:val="47DE6225"/>
    <w:rsid w:val="481B3E68"/>
    <w:rsid w:val="485153C8"/>
    <w:rsid w:val="488A05D1"/>
    <w:rsid w:val="4891252C"/>
    <w:rsid w:val="48A43377"/>
    <w:rsid w:val="48C478D0"/>
    <w:rsid w:val="492A3BEC"/>
    <w:rsid w:val="493F6E01"/>
    <w:rsid w:val="49B44BED"/>
    <w:rsid w:val="49C369D7"/>
    <w:rsid w:val="4A4B30E2"/>
    <w:rsid w:val="4B3914BA"/>
    <w:rsid w:val="4B6A26A3"/>
    <w:rsid w:val="4BA4497A"/>
    <w:rsid w:val="4BED4FF0"/>
    <w:rsid w:val="4C077BB0"/>
    <w:rsid w:val="4C115F72"/>
    <w:rsid w:val="4C3B00CB"/>
    <w:rsid w:val="4C410A70"/>
    <w:rsid w:val="4C531DA4"/>
    <w:rsid w:val="4CA701BE"/>
    <w:rsid w:val="4CF71E1E"/>
    <w:rsid w:val="4D5034B3"/>
    <w:rsid w:val="4D674705"/>
    <w:rsid w:val="4D6B4D1A"/>
    <w:rsid w:val="4E1F0D33"/>
    <w:rsid w:val="4E97435F"/>
    <w:rsid w:val="4EEA3531"/>
    <w:rsid w:val="4FA0200C"/>
    <w:rsid w:val="50614CBD"/>
    <w:rsid w:val="506243D8"/>
    <w:rsid w:val="510635DC"/>
    <w:rsid w:val="51284385"/>
    <w:rsid w:val="51444532"/>
    <w:rsid w:val="51585242"/>
    <w:rsid w:val="51585CF5"/>
    <w:rsid w:val="51DA2954"/>
    <w:rsid w:val="5205051C"/>
    <w:rsid w:val="52580C58"/>
    <w:rsid w:val="52A4738B"/>
    <w:rsid w:val="52B92B7C"/>
    <w:rsid w:val="52F802B4"/>
    <w:rsid w:val="53593B0C"/>
    <w:rsid w:val="53952657"/>
    <w:rsid w:val="548B7562"/>
    <w:rsid w:val="54B40625"/>
    <w:rsid w:val="54BA6028"/>
    <w:rsid w:val="54E9550A"/>
    <w:rsid w:val="54FB67B0"/>
    <w:rsid w:val="55793696"/>
    <w:rsid w:val="55DE6835"/>
    <w:rsid w:val="55E90632"/>
    <w:rsid w:val="56023C9B"/>
    <w:rsid w:val="560D1BF6"/>
    <w:rsid w:val="562A1D1A"/>
    <w:rsid w:val="56A60927"/>
    <w:rsid w:val="56BE1886"/>
    <w:rsid w:val="56DF2530"/>
    <w:rsid w:val="56F87F14"/>
    <w:rsid w:val="576B3890"/>
    <w:rsid w:val="5780315D"/>
    <w:rsid w:val="57917F8F"/>
    <w:rsid w:val="57F814AD"/>
    <w:rsid w:val="583F3C9B"/>
    <w:rsid w:val="58847504"/>
    <w:rsid w:val="58BE6D23"/>
    <w:rsid w:val="58D67EEF"/>
    <w:rsid w:val="59692187"/>
    <w:rsid w:val="597063F8"/>
    <w:rsid w:val="59720ABA"/>
    <w:rsid w:val="59A42E61"/>
    <w:rsid w:val="59C91724"/>
    <w:rsid w:val="5A0F2FF6"/>
    <w:rsid w:val="5A1237E0"/>
    <w:rsid w:val="5A1436AD"/>
    <w:rsid w:val="5A2A2A99"/>
    <w:rsid w:val="5A76594E"/>
    <w:rsid w:val="5AC03997"/>
    <w:rsid w:val="5AED6748"/>
    <w:rsid w:val="5B161069"/>
    <w:rsid w:val="5B4812FB"/>
    <w:rsid w:val="5B53368D"/>
    <w:rsid w:val="5B8501A8"/>
    <w:rsid w:val="5B8715D2"/>
    <w:rsid w:val="5B935681"/>
    <w:rsid w:val="5BB636D6"/>
    <w:rsid w:val="5BBC7991"/>
    <w:rsid w:val="5C0F53A9"/>
    <w:rsid w:val="5C1955A4"/>
    <w:rsid w:val="5C2A10A8"/>
    <w:rsid w:val="5C657195"/>
    <w:rsid w:val="5CE8150D"/>
    <w:rsid w:val="5D0B1936"/>
    <w:rsid w:val="5D363F40"/>
    <w:rsid w:val="5DB71576"/>
    <w:rsid w:val="5DBE5A62"/>
    <w:rsid w:val="5DC13F64"/>
    <w:rsid w:val="5E10338D"/>
    <w:rsid w:val="5E407ECD"/>
    <w:rsid w:val="5EA15BD5"/>
    <w:rsid w:val="5EE112B3"/>
    <w:rsid w:val="5F247461"/>
    <w:rsid w:val="5F382BCD"/>
    <w:rsid w:val="5F6E627D"/>
    <w:rsid w:val="5FB93F77"/>
    <w:rsid w:val="604D3C61"/>
    <w:rsid w:val="611C2580"/>
    <w:rsid w:val="613368D3"/>
    <w:rsid w:val="61B61536"/>
    <w:rsid w:val="629E491B"/>
    <w:rsid w:val="62C3483E"/>
    <w:rsid w:val="63347FB1"/>
    <w:rsid w:val="63667667"/>
    <w:rsid w:val="64411936"/>
    <w:rsid w:val="64EA5B43"/>
    <w:rsid w:val="67074CD3"/>
    <w:rsid w:val="678B445E"/>
    <w:rsid w:val="679C490D"/>
    <w:rsid w:val="67E3112E"/>
    <w:rsid w:val="681B3B4E"/>
    <w:rsid w:val="6845113F"/>
    <w:rsid w:val="68762FFE"/>
    <w:rsid w:val="690075D9"/>
    <w:rsid w:val="69412CEE"/>
    <w:rsid w:val="69586200"/>
    <w:rsid w:val="6960194E"/>
    <w:rsid w:val="696955FE"/>
    <w:rsid w:val="69696FA4"/>
    <w:rsid w:val="6973138F"/>
    <w:rsid w:val="6A7B7B1F"/>
    <w:rsid w:val="6A8773BD"/>
    <w:rsid w:val="6AA82AC1"/>
    <w:rsid w:val="6ACB622C"/>
    <w:rsid w:val="6AD52E36"/>
    <w:rsid w:val="6AE4025F"/>
    <w:rsid w:val="6B094E92"/>
    <w:rsid w:val="6B3D47F9"/>
    <w:rsid w:val="6B4A6B0B"/>
    <w:rsid w:val="6B541BC0"/>
    <w:rsid w:val="6BD42B38"/>
    <w:rsid w:val="6C0A5B05"/>
    <w:rsid w:val="6C35774D"/>
    <w:rsid w:val="6C4F2850"/>
    <w:rsid w:val="6C7166D6"/>
    <w:rsid w:val="6CFC4050"/>
    <w:rsid w:val="6D0262E2"/>
    <w:rsid w:val="6D4545F8"/>
    <w:rsid w:val="6D515A7E"/>
    <w:rsid w:val="6D9D63FA"/>
    <w:rsid w:val="6DC55FDD"/>
    <w:rsid w:val="6DE808FC"/>
    <w:rsid w:val="6E390823"/>
    <w:rsid w:val="6EA94ABC"/>
    <w:rsid w:val="6ECA2AEA"/>
    <w:rsid w:val="6EDA040B"/>
    <w:rsid w:val="6F262B1D"/>
    <w:rsid w:val="6F3365CC"/>
    <w:rsid w:val="6F6B5875"/>
    <w:rsid w:val="6F8355B4"/>
    <w:rsid w:val="6FB93B84"/>
    <w:rsid w:val="70340C88"/>
    <w:rsid w:val="70E370B9"/>
    <w:rsid w:val="71170C0A"/>
    <w:rsid w:val="719505CF"/>
    <w:rsid w:val="71F36025"/>
    <w:rsid w:val="72091B17"/>
    <w:rsid w:val="72940B4B"/>
    <w:rsid w:val="72C94E8B"/>
    <w:rsid w:val="72ED00AB"/>
    <w:rsid w:val="732D259E"/>
    <w:rsid w:val="733632F4"/>
    <w:rsid w:val="73675A36"/>
    <w:rsid w:val="739A30F4"/>
    <w:rsid w:val="73D633F2"/>
    <w:rsid w:val="73E60ED9"/>
    <w:rsid w:val="740C4066"/>
    <w:rsid w:val="74107983"/>
    <w:rsid w:val="743B4C40"/>
    <w:rsid w:val="744951BC"/>
    <w:rsid w:val="74535134"/>
    <w:rsid w:val="747A23E3"/>
    <w:rsid w:val="74AE69AD"/>
    <w:rsid w:val="750A17A8"/>
    <w:rsid w:val="75B173E7"/>
    <w:rsid w:val="761415DE"/>
    <w:rsid w:val="7641507F"/>
    <w:rsid w:val="764E73BA"/>
    <w:rsid w:val="76B76805"/>
    <w:rsid w:val="773A5475"/>
    <w:rsid w:val="77D243F1"/>
    <w:rsid w:val="77E17E12"/>
    <w:rsid w:val="77FC0EFD"/>
    <w:rsid w:val="781349B9"/>
    <w:rsid w:val="78376601"/>
    <w:rsid w:val="78437072"/>
    <w:rsid w:val="78776EDC"/>
    <w:rsid w:val="787966D3"/>
    <w:rsid w:val="787A6B86"/>
    <w:rsid w:val="78C97697"/>
    <w:rsid w:val="795E526C"/>
    <w:rsid w:val="7990680D"/>
    <w:rsid w:val="79E90EE7"/>
    <w:rsid w:val="7A3A7450"/>
    <w:rsid w:val="7AB32755"/>
    <w:rsid w:val="7B376FBB"/>
    <w:rsid w:val="7B5D0004"/>
    <w:rsid w:val="7B83737D"/>
    <w:rsid w:val="7C28382B"/>
    <w:rsid w:val="7C3976EC"/>
    <w:rsid w:val="7C4E2A32"/>
    <w:rsid w:val="7C542B1B"/>
    <w:rsid w:val="7CCB48DE"/>
    <w:rsid w:val="7CE608AF"/>
    <w:rsid w:val="7CFA35B7"/>
    <w:rsid w:val="7D2A05B7"/>
    <w:rsid w:val="7D4E0E02"/>
    <w:rsid w:val="7D682AE2"/>
    <w:rsid w:val="7D69016E"/>
    <w:rsid w:val="7DBB24AC"/>
    <w:rsid w:val="7E3579C8"/>
    <w:rsid w:val="7E911B23"/>
    <w:rsid w:val="7EAE2C30"/>
    <w:rsid w:val="7EC65090"/>
    <w:rsid w:val="7EC86690"/>
    <w:rsid w:val="7EE00881"/>
    <w:rsid w:val="7F2577F5"/>
    <w:rsid w:val="7F7333C7"/>
    <w:rsid w:val="7FCA12E2"/>
    <w:rsid w:val="7FE70B3E"/>
    <w:rsid w:val="DF3DEB20"/>
    <w:rsid w:val="DFFB7151"/>
    <w:rsid w:val="E7C7C1C6"/>
    <w:rsid w:val="FFFB6FC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0" w:semiHidden="0" w:name="heading 4"/>
    <w:lsdException w:qFormat="1" w:unhideWhenUsed="0" w:uiPriority="0" w:semiHidden="0" w:name="heading 5"/>
    <w:lsdException w:qFormat="1" w:unhideWhenUsed="0"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qFormat="1" w:unhideWhenUsed="0" w:uiPriority="0" w:semiHidden="0"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qFormat/>
    <w:uiPriority w:val="0"/>
    <w:pPr>
      <w:tabs>
        <w:tab w:val="left" w:pos="0"/>
      </w:tabs>
      <w:spacing w:before="240" w:after="240"/>
      <w:jc w:val="left"/>
      <w:outlineLvl w:val="3"/>
    </w:pPr>
    <w:rPr>
      <w:rFonts w:ascii="Arial" w:hAnsi="Arial"/>
      <w:kern w:val="44"/>
      <w:szCs w:val="28"/>
    </w:rPr>
  </w:style>
  <w:style w:type="paragraph" w:styleId="3">
    <w:name w:val="heading 5"/>
    <w:basedOn w:val="1"/>
    <w:next w:val="1"/>
    <w:autoRedefine/>
    <w:qFormat/>
    <w:uiPriority w:val="0"/>
    <w:pPr>
      <w:keepNext/>
      <w:keepLines/>
      <w:tabs>
        <w:tab w:val="center" w:pos="6804"/>
        <w:tab w:val="right" w:pos="7371"/>
      </w:tabs>
      <w:overflowPunct w:val="0"/>
      <w:adjustRightInd w:val="0"/>
      <w:spacing w:line="360" w:lineRule="auto"/>
      <w:textAlignment w:val="baseline"/>
      <w:outlineLvl w:val="4"/>
    </w:pPr>
    <w:rPr>
      <w:rFonts w:ascii="Times New Roman" w:hAnsi="Times New Roman"/>
      <w:color w:val="008000"/>
      <w:kern w:val="0"/>
      <w:sz w:val="28"/>
      <w:szCs w:val="20"/>
    </w:rPr>
  </w:style>
  <w:style w:type="paragraph" w:styleId="4">
    <w:name w:val="heading 6"/>
    <w:basedOn w:val="1"/>
    <w:next w:val="1"/>
    <w:autoRedefine/>
    <w:qFormat/>
    <w:uiPriority w:val="9"/>
    <w:pPr>
      <w:tabs>
        <w:tab w:val="left" w:pos="980"/>
        <w:tab w:val="left" w:pos="1152"/>
      </w:tabs>
      <w:ind w:left="1152" w:hanging="1152"/>
      <w:outlineLvl w:val="5"/>
    </w:pPr>
  </w:style>
  <w:style w:type="character" w:default="1" w:styleId="19">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5">
    <w:name w:val="table of authorities"/>
    <w:basedOn w:val="1"/>
    <w:next w:val="1"/>
    <w:autoRedefine/>
    <w:qFormat/>
    <w:uiPriority w:val="0"/>
    <w:pPr>
      <w:ind w:left="420" w:leftChars="200" w:firstLine="562"/>
    </w:pPr>
    <w:rPr>
      <w:rFonts w:ascii="仿宋" w:hAnsi="仿宋" w:eastAsia="仿宋"/>
    </w:rPr>
  </w:style>
  <w:style w:type="paragraph" w:styleId="6">
    <w:name w:val="Normal Indent"/>
    <w:basedOn w:val="1"/>
    <w:autoRedefine/>
    <w:qFormat/>
    <w:uiPriority w:val="0"/>
    <w:pPr>
      <w:adjustRightInd w:val="0"/>
      <w:ind w:firstLine="420"/>
      <w:jc w:val="left"/>
      <w:textAlignment w:val="baseline"/>
    </w:pPr>
    <w:rPr>
      <w:rFonts w:ascii="宋体"/>
      <w:kern w:val="0"/>
      <w:sz w:val="24"/>
      <w:szCs w:val="20"/>
    </w:rPr>
  </w:style>
  <w:style w:type="paragraph" w:styleId="7">
    <w:name w:val="Body Text"/>
    <w:basedOn w:val="1"/>
    <w:autoRedefine/>
    <w:qFormat/>
    <w:uiPriority w:val="0"/>
    <w:pPr>
      <w:spacing w:after="120"/>
    </w:pPr>
  </w:style>
  <w:style w:type="paragraph" w:styleId="8">
    <w:name w:val="Body Text Indent"/>
    <w:basedOn w:val="1"/>
    <w:autoRedefine/>
    <w:qFormat/>
    <w:uiPriority w:val="0"/>
    <w:pPr>
      <w:autoSpaceDE w:val="0"/>
      <w:autoSpaceDN w:val="0"/>
      <w:adjustRightInd w:val="0"/>
      <w:spacing w:line="360" w:lineRule="auto"/>
      <w:ind w:right="156" w:firstLine="480" w:firstLineChars="200"/>
    </w:pPr>
    <w:rPr>
      <w:sz w:val="24"/>
    </w:rPr>
  </w:style>
  <w:style w:type="paragraph" w:styleId="9">
    <w:name w:val="toc 8"/>
    <w:next w:val="1"/>
    <w:autoRedefine/>
    <w:qFormat/>
    <w:uiPriority w:val="0"/>
    <w:pPr>
      <w:wordWrap w:val="0"/>
      <w:ind w:left="1270"/>
      <w:jc w:val="both"/>
    </w:pPr>
    <w:rPr>
      <w:rFonts w:ascii="Times New Roman" w:hAnsi="Times New Roman" w:eastAsia="宋体" w:cs="Times New Roman"/>
      <w:lang w:val="en-US" w:eastAsia="zh-CN" w:bidi="ar-SA"/>
    </w:rPr>
  </w:style>
  <w:style w:type="paragraph" w:styleId="10">
    <w:name w:val="Date"/>
    <w:basedOn w:val="1"/>
    <w:next w:val="1"/>
    <w:link w:val="29"/>
    <w:autoRedefine/>
    <w:semiHidden/>
    <w:unhideWhenUsed/>
    <w:qFormat/>
    <w:uiPriority w:val="99"/>
    <w:pPr>
      <w:ind w:left="100" w:leftChars="2500"/>
    </w:pPr>
  </w:style>
  <w:style w:type="paragraph" w:styleId="11">
    <w:name w:val="Body Text Indent 2"/>
    <w:basedOn w:val="1"/>
    <w:next w:val="1"/>
    <w:autoRedefine/>
    <w:qFormat/>
    <w:uiPriority w:val="0"/>
    <w:pPr>
      <w:ind w:firstLine="630"/>
    </w:pPr>
    <w:rPr>
      <w:rFonts w:ascii="Times New Roman" w:hAnsi="Times New Roman"/>
      <w:sz w:val="32"/>
      <w:szCs w:val="24"/>
    </w:rPr>
  </w:style>
  <w:style w:type="paragraph" w:styleId="12">
    <w:name w:val="Balloon Text"/>
    <w:basedOn w:val="1"/>
    <w:link w:val="31"/>
    <w:autoRedefine/>
    <w:semiHidden/>
    <w:unhideWhenUsed/>
    <w:qFormat/>
    <w:uiPriority w:val="99"/>
    <w:rPr>
      <w:sz w:val="18"/>
      <w:szCs w:val="18"/>
    </w:rPr>
  </w:style>
  <w:style w:type="paragraph" w:styleId="13">
    <w:name w:val="footer"/>
    <w:basedOn w:val="1"/>
    <w:link w:val="28"/>
    <w:autoRedefine/>
    <w:unhideWhenUsed/>
    <w:qFormat/>
    <w:uiPriority w:val="99"/>
    <w:pPr>
      <w:tabs>
        <w:tab w:val="center" w:pos="4153"/>
        <w:tab w:val="right" w:pos="8306"/>
      </w:tabs>
      <w:snapToGrid w:val="0"/>
      <w:jc w:val="left"/>
    </w:pPr>
    <w:rPr>
      <w:sz w:val="18"/>
      <w:szCs w:val="18"/>
    </w:rPr>
  </w:style>
  <w:style w:type="paragraph" w:styleId="14">
    <w:name w:val="header"/>
    <w:basedOn w:val="1"/>
    <w:link w:val="27"/>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Normal (Web)"/>
    <w:basedOn w:val="1"/>
    <w:autoRedefine/>
    <w:unhideWhenUsed/>
    <w:qFormat/>
    <w:uiPriority w:val="99"/>
    <w:pPr>
      <w:widowControl/>
      <w:jc w:val="left"/>
    </w:pPr>
    <w:rPr>
      <w:rFonts w:ascii="宋体" w:hAnsi="宋体" w:eastAsia="宋体" w:cs="宋体"/>
      <w:kern w:val="0"/>
      <w:sz w:val="24"/>
      <w:szCs w:val="24"/>
    </w:rPr>
  </w:style>
  <w:style w:type="paragraph" w:styleId="16">
    <w:name w:val="Body Text First Indent"/>
    <w:basedOn w:val="7"/>
    <w:next w:val="1"/>
    <w:autoRedefine/>
    <w:qFormat/>
    <w:uiPriority w:val="0"/>
    <w:pPr>
      <w:ind w:firstLine="420" w:firstLineChars="100"/>
    </w:pPr>
  </w:style>
  <w:style w:type="paragraph" w:styleId="17">
    <w:name w:val="Body Text First Indent 2"/>
    <w:basedOn w:val="8"/>
    <w:next w:val="16"/>
    <w:autoRedefine/>
    <w:qFormat/>
    <w:uiPriority w:val="0"/>
    <w:pPr>
      <w:ind w:firstLine="420"/>
    </w:pPr>
  </w:style>
  <w:style w:type="character" w:styleId="20">
    <w:name w:val="page number"/>
    <w:basedOn w:val="19"/>
    <w:autoRedefine/>
    <w:qFormat/>
    <w:uiPriority w:val="0"/>
  </w:style>
  <w:style w:type="paragraph" w:customStyle="1" w:styleId="21">
    <w:name w:val="样式 设计说明书第三级 + 首行缩进:  2 字符"/>
    <w:basedOn w:val="1"/>
    <w:qFormat/>
    <w:uiPriority w:val="0"/>
    <w:pPr>
      <w:keepNext/>
      <w:keepLines/>
      <w:adjustRightInd/>
      <w:snapToGrid/>
      <w:spacing w:before="100" w:beforeLines="0" w:line="500" w:lineRule="exact"/>
      <w:ind w:firstLine="200" w:firstLineChars="200"/>
      <w:jc w:val="left"/>
      <w:outlineLvl w:val="2"/>
    </w:pPr>
    <w:rPr>
      <w:b/>
      <w:bCs/>
      <w:kern w:val="44"/>
      <w:szCs w:val="28"/>
    </w:rPr>
  </w:style>
  <w:style w:type="paragraph" w:customStyle="1" w:styleId="22">
    <w:name w:val="Default"/>
    <w:qFormat/>
    <w:uiPriority w:val="0"/>
    <w:pPr>
      <w:widowControl w:val="0"/>
      <w:autoSpaceDE w:val="0"/>
      <w:autoSpaceDN w:val="0"/>
      <w:adjustRightInd w:val="0"/>
    </w:pPr>
    <w:rPr>
      <w:rFonts w:ascii="华文中宋" w:hAnsi="Calibri" w:eastAsia="华文中宋" w:cs="华文中宋"/>
      <w:color w:val="000000"/>
      <w:sz w:val="24"/>
      <w:szCs w:val="24"/>
      <w:lang w:val="en-US" w:eastAsia="zh-CN" w:bidi="ar-SA"/>
    </w:rPr>
  </w:style>
  <w:style w:type="paragraph" w:customStyle="1" w:styleId="23">
    <w:name w:val="样式 宋体 小四 行距: 1.5 倍行距"/>
    <w:basedOn w:val="1"/>
    <w:next w:val="3"/>
    <w:autoRedefine/>
    <w:qFormat/>
    <w:uiPriority w:val="0"/>
    <w:pPr>
      <w:widowControl/>
      <w:spacing w:after="120" w:line="360" w:lineRule="auto"/>
      <w:ind w:firstLine="480" w:firstLineChars="200"/>
      <w:textAlignment w:val="baseline"/>
    </w:pPr>
    <w:rPr>
      <w:rFonts w:ascii="宋体" w:hAnsi="宋体" w:cs="宋体"/>
      <w:kern w:val="0"/>
      <w:sz w:val="24"/>
      <w:szCs w:val="20"/>
    </w:rPr>
  </w:style>
  <w:style w:type="paragraph" w:customStyle="1" w:styleId="24">
    <w:name w:val="样式 正文文本缩进 + 行距: 1.5 倍行距"/>
    <w:basedOn w:val="1"/>
    <w:autoRedefine/>
    <w:qFormat/>
    <w:uiPriority w:val="0"/>
    <w:pPr>
      <w:spacing w:after="120" w:line="360" w:lineRule="auto"/>
      <w:ind w:left="90" w:leftChars="32" w:firstLine="560" w:firstLineChars="200"/>
    </w:pPr>
    <w:rPr>
      <w:rFonts w:cs="宋体"/>
    </w:rPr>
  </w:style>
  <w:style w:type="paragraph" w:customStyle="1" w:styleId="25">
    <w:name w:val="Body Text 21"/>
    <w:basedOn w:val="1"/>
    <w:next w:val="1"/>
    <w:autoRedefine/>
    <w:qFormat/>
    <w:uiPriority w:val="0"/>
    <w:pPr>
      <w:spacing w:after="120" w:line="480" w:lineRule="auto"/>
    </w:pPr>
  </w:style>
  <w:style w:type="paragraph" w:customStyle="1" w:styleId="26">
    <w:name w:val="BodyText1I"/>
    <w:basedOn w:val="1"/>
    <w:autoRedefine/>
    <w:qFormat/>
    <w:uiPriority w:val="0"/>
    <w:pPr>
      <w:ind w:firstLine="420" w:firstLineChars="100"/>
      <w:jc w:val="both"/>
      <w:textAlignment w:val="baseline"/>
    </w:pPr>
  </w:style>
  <w:style w:type="character" w:customStyle="1" w:styleId="27">
    <w:name w:val="页眉 Char"/>
    <w:basedOn w:val="19"/>
    <w:link w:val="14"/>
    <w:autoRedefine/>
    <w:qFormat/>
    <w:uiPriority w:val="99"/>
    <w:rPr>
      <w:sz w:val="18"/>
      <w:szCs w:val="18"/>
    </w:rPr>
  </w:style>
  <w:style w:type="character" w:customStyle="1" w:styleId="28">
    <w:name w:val="页脚 Char"/>
    <w:basedOn w:val="19"/>
    <w:link w:val="13"/>
    <w:autoRedefine/>
    <w:qFormat/>
    <w:uiPriority w:val="99"/>
    <w:rPr>
      <w:sz w:val="18"/>
      <w:szCs w:val="18"/>
    </w:rPr>
  </w:style>
  <w:style w:type="character" w:customStyle="1" w:styleId="29">
    <w:name w:val="日期 Char"/>
    <w:basedOn w:val="19"/>
    <w:link w:val="10"/>
    <w:autoRedefine/>
    <w:semiHidden/>
    <w:qFormat/>
    <w:uiPriority w:val="99"/>
  </w:style>
  <w:style w:type="paragraph" w:customStyle="1" w:styleId="30">
    <w:name w:val="4 Char"/>
    <w:basedOn w:val="1"/>
    <w:autoRedefine/>
    <w:qFormat/>
    <w:uiPriority w:val="0"/>
    <w:rPr>
      <w:rFonts w:ascii="Times New Roman" w:hAnsi="Times New Roman" w:eastAsia="宋体" w:cs="Times New Roman"/>
      <w:szCs w:val="24"/>
    </w:rPr>
  </w:style>
  <w:style w:type="character" w:customStyle="1" w:styleId="31">
    <w:name w:val="批注框文本 Char"/>
    <w:basedOn w:val="19"/>
    <w:link w:val="12"/>
    <w:autoRedefine/>
    <w:semiHidden/>
    <w:qFormat/>
    <w:uiPriority w:val="99"/>
    <w:rPr>
      <w:sz w:val="18"/>
      <w:szCs w:val="18"/>
    </w:rPr>
  </w:style>
  <w:style w:type="character" w:customStyle="1" w:styleId="32">
    <w:name w:val="fontstyle01"/>
    <w:autoRedefine/>
    <w:qFormat/>
    <w:uiPriority w:val="0"/>
    <w:rPr>
      <w:rFonts w:hint="default" w:ascii="F1" w:hAnsi="F1"/>
      <w:color w:val="000000"/>
      <w:sz w:val="28"/>
      <w:szCs w:val="28"/>
    </w:rPr>
  </w:style>
  <w:style w:type="paragraph" w:customStyle="1" w:styleId="33">
    <w:name w:val="样式 纯文本文章正文 + 左  0 字符"/>
    <w:basedOn w:val="1"/>
    <w:autoRedefine/>
    <w:semiHidden/>
    <w:qFormat/>
    <w:uiPriority w:val="0"/>
    <w:pPr>
      <w:ind w:firstLine="560" w:firstLineChars="200"/>
    </w:pPr>
    <w:rPr>
      <w:rFonts w:ascii="宋体" w:hAnsi="Courier New" w:cs="宋体"/>
      <w:szCs w:val="20"/>
    </w:rPr>
  </w:style>
  <w:style w:type="paragraph" w:customStyle="1" w:styleId="34">
    <w:name w:val="样式1"/>
    <w:autoRedefine/>
    <w:qFormat/>
    <w:uiPriority w:val="0"/>
    <w:pPr>
      <w:spacing w:line="720" w:lineRule="exact"/>
      <w:jc w:val="center"/>
    </w:pPr>
    <w:rPr>
      <w:rFonts w:ascii="宋体" w:hAnsi="宋体" w:eastAsia="宋体" w:cs="Times New Roman"/>
      <w:b/>
      <w:sz w:val="36"/>
      <w:lang w:val="en-US" w:eastAsia="zh-CN" w:bidi="ar-SA"/>
    </w:rPr>
  </w:style>
  <w:style w:type="paragraph" w:customStyle="1" w:styleId="35">
    <w:name w:val="BodyText1I2"/>
    <w:basedOn w:val="1"/>
    <w:autoRedefine/>
    <w:qFormat/>
    <w:uiPriority w:val="0"/>
    <w:pPr>
      <w:spacing w:after="120"/>
      <w:ind w:left="420" w:leftChars="200" w:firstLine="420" w:firstLineChars="200"/>
      <w:textAlignment w:val="baseline"/>
    </w:pPr>
    <w:rPr>
      <w:rFonts w:ascii="Calibri" w:hAnsi="Calibri" w:eastAsia="宋体" w:cs="Times New Roman"/>
      <w:szCs w:val="24"/>
    </w:rPr>
  </w:style>
  <w:style w:type="character" w:customStyle="1" w:styleId="36">
    <w:name w:val="NormalCharacter"/>
    <w:autoRedefine/>
    <w:qFormat/>
    <w:uiPriority w:val="0"/>
    <w:rPr>
      <w:kern w:val="2"/>
      <w:sz w:val="21"/>
      <w:szCs w:val="24"/>
      <w:lang w:val="en-US" w:eastAsia="zh-CN" w:bidi="ar-SA"/>
    </w:rPr>
  </w:style>
  <w:style w:type="paragraph" w:customStyle="1" w:styleId="37">
    <w:name w:val="节1"/>
    <w:basedOn w:val="1"/>
    <w:next w:val="1"/>
    <w:autoRedefine/>
    <w:qFormat/>
    <w:uiPriority w:val="0"/>
    <w:pPr>
      <w:tabs>
        <w:tab w:val="left" w:pos="7020"/>
      </w:tabs>
      <w:adjustRightInd w:val="0"/>
      <w:snapToGrid w:val="0"/>
      <w:spacing w:line="600" w:lineRule="exact"/>
      <w:ind w:firstLine="643"/>
      <w:jc w:val="center"/>
      <w:outlineLvl w:val="2"/>
    </w:pPr>
    <w:rPr>
      <w:rFonts w:ascii="宋体" w:hAnsi="宋体"/>
      <w:b/>
      <w:color w:val="FF0000"/>
      <w:sz w:val="32"/>
    </w:rPr>
  </w:style>
  <w:style w:type="paragraph" w:customStyle="1" w:styleId="38">
    <w:name w:val="⑨正文（武潇）"/>
    <w:basedOn w:val="16"/>
    <w:autoRedefine/>
    <w:qFormat/>
    <w:uiPriority w:val="0"/>
    <w:pPr>
      <w:autoSpaceDE w:val="0"/>
      <w:autoSpaceDN w:val="0"/>
      <w:adjustRightInd w:val="0"/>
      <w:snapToGrid w:val="0"/>
      <w:spacing w:after="0" w:line="360" w:lineRule="auto"/>
      <w:ind w:firstLine="200" w:firstLineChars="200"/>
    </w:pPr>
    <w:rPr>
      <w:bCs/>
      <w:sz w:val="28"/>
      <w:szCs w:val="28"/>
    </w:rPr>
  </w:style>
  <w:style w:type="paragraph" w:customStyle="1" w:styleId="39">
    <w:name w:val="正文26"/>
    <w:basedOn w:val="1"/>
    <w:autoRedefine/>
    <w:qFormat/>
    <w:uiPriority w:val="0"/>
    <w:pPr>
      <w:widowControl w:val="0"/>
      <w:overflowPunct w:val="0"/>
      <w:topLinePunct/>
      <w:snapToGrid w:val="0"/>
      <w:spacing w:line="520" w:lineRule="exact"/>
      <w:ind w:firstLine="482"/>
      <w:jc w:val="both"/>
    </w:pPr>
    <w:rPr>
      <w:rFonts w:cs="Times New Roman"/>
      <w:sz w:val="24"/>
      <w:szCs w:val="28"/>
    </w:rPr>
  </w:style>
  <w:style w:type="character" w:customStyle="1" w:styleId="40">
    <w:name w:val="正文部分 Char"/>
    <w:basedOn w:val="19"/>
    <w:link w:val="41"/>
    <w:autoRedefine/>
    <w:qFormat/>
    <w:uiPriority w:val="0"/>
    <w:rPr>
      <w:rFonts w:ascii="宋体" w:hAnsi="宋体" w:eastAsia="宋体" w:cs="宋体"/>
      <w:bCs/>
      <w:sz w:val="28"/>
      <w:szCs w:val="32"/>
    </w:rPr>
  </w:style>
  <w:style w:type="paragraph" w:customStyle="1" w:styleId="41">
    <w:name w:val="正文部分"/>
    <w:basedOn w:val="1"/>
    <w:link w:val="40"/>
    <w:autoRedefine/>
    <w:qFormat/>
    <w:uiPriority w:val="0"/>
    <w:pPr>
      <w:spacing w:line="500" w:lineRule="exact"/>
    </w:pPr>
    <w:rPr>
      <w:rFonts w:ascii="宋体" w:hAnsi="宋体" w:eastAsia="宋体" w:cs="宋体"/>
      <w:bCs/>
      <w:sz w:val="28"/>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49" textRotate="1"/>
    <customShpInfo spid="_x0000_s1039"/>
    <customShpInfo spid="_x0000_s1040"/>
    <customShpInfo spid="_x0000_s104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China</Company>
  <Pages>6</Pages>
  <Words>2746</Words>
  <Characters>3049</Characters>
  <Lines>8</Lines>
  <Paragraphs>2</Paragraphs>
  <TotalTime>5</TotalTime>
  <ScaleCrop>false</ScaleCrop>
  <LinksUpToDate>false</LinksUpToDate>
  <CharactersWithSpaces>3074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2017-06-21T08:13:00Z</dcterms:created>
  <dc:creator>1</dc:creator>
  <cp:lastModifiedBy>安吉拉</cp:lastModifiedBy>
  <cp:lastPrinted>2026-04-22T02:12:00Z</cp:lastPrinted>
  <dcterms:modified xsi:type="dcterms:W3CDTF">2026-08-05T09:01:24Z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6BFFC661348BB583E0713A69E3E014C7_43</vt:lpwstr>
  </property>
  <property fmtid="{D5CDD505-2E9C-101B-9397-08002B2CF9AE}" pid="4" name="KSOTemplateDocerSaveRecord">
    <vt:lpwstr>eyJoZGlkIjoiYTNiNjJlZjFkYzI0MzNkZjkwODAzZDBkMjVlYWQ5YjYiLCJ1c2VySWQiOiIxMDM1NzY3Nzg3In0=</vt:lpwstr>
  </property>
</Properties>
</file>