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3481A5">
      <w:pPr>
        <w:spacing w:line="600" w:lineRule="exact"/>
        <w:jc w:val="center"/>
        <w:rPr>
          <w:rFonts w:ascii="方正小标宋简体" w:eastAsia="方正小标宋简体"/>
          <w:sz w:val="44"/>
          <w:szCs w:val="44"/>
        </w:rPr>
      </w:pPr>
    </w:p>
    <w:p w14:paraId="0DCB357C">
      <w:pPr>
        <w:spacing w:line="600" w:lineRule="exact"/>
        <w:jc w:val="center"/>
        <w:rPr>
          <w:rFonts w:ascii="方正小标宋简体" w:eastAsia="方正小标宋简体"/>
          <w:sz w:val="44"/>
          <w:szCs w:val="44"/>
        </w:rPr>
      </w:pPr>
    </w:p>
    <w:p w14:paraId="59B01F5F">
      <w:pPr>
        <w:spacing w:line="600" w:lineRule="exact"/>
        <w:rPr>
          <w:rFonts w:ascii="方正小标宋简体" w:eastAsia="方正小标宋简体"/>
          <w:sz w:val="44"/>
          <w:szCs w:val="44"/>
        </w:rPr>
      </w:pPr>
    </w:p>
    <w:p w14:paraId="6EAAC40A">
      <w:pPr>
        <w:jc w:val="right"/>
        <w:rPr>
          <w:rFonts w:hint="eastAsia" w:ascii="仿宋" w:hAnsi="仿宋" w:eastAsia="仿宋" w:cs="仿宋"/>
          <w:sz w:val="32"/>
          <w:szCs w:val="32"/>
        </w:rPr>
      </w:pPr>
      <w:bookmarkStart w:id="0" w:name="OLE_LINK1"/>
    </w:p>
    <w:p w14:paraId="60D65BB8">
      <w:pPr>
        <w:jc w:val="right"/>
        <w:rPr>
          <w:rFonts w:hint="eastAsia" w:ascii="仿宋" w:hAnsi="仿宋" w:eastAsia="仿宋" w:cs="仿宋"/>
          <w:sz w:val="32"/>
          <w:szCs w:val="32"/>
        </w:rPr>
      </w:pPr>
    </w:p>
    <w:p w14:paraId="0058B283">
      <w:pPr>
        <w:jc w:val="right"/>
        <w:rPr>
          <w:rFonts w:hint="eastAsia" w:ascii="仿宋" w:hAnsi="仿宋" w:eastAsia="仿宋" w:cs="仿宋"/>
          <w:sz w:val="32"/>
          <w:szCs w:val="32"/>
        </w:rPr>
      </w:pPr>
    </w:p>
    <w:p w14:paraId="4F8B2C4D">
      <w:pPr>
        <w:jc w:val="right"/>
        <w:rPr>
          <w:rFonts w:hint="eastAsia" w:ascii="仿宋" w:hAnsi="仿宋" w:eastAsia="仿宋" w:cs="仿宋"/>
          <w:sz w:val="32"/>
          <w:szCs w:val="32"/>
        </w:rPr>
      </w:pPr>
    </w:p>
    <w:p w14:paraId="63DBF647">
      <w:pPr>
        <w:jc w:val="right"/>
        <w:rPr>
          <w:rFonts w:hint="eastAsia" w:ascii="仿宋" w:hAnsi="仿宋" w:eastAsia="仿宋" w:cs="仿宋"/>
          <w:sz w:val="32"/>
          <w:szCs w:val="32"/>
        </w:rPr>
      </w:pPr>
    </w:p>
    <w:p w14:paraId="622CACD5">
      <w:pPr>
        <w:jc w:val="right"/>
        <w:rPr>
          <w:rFonts w:hint="eastAsia" w:ascii="仿宋" w:hAnsi="仿宋" w:eastAsia="仿宋" w:cs="仿宋"/>
          <w:sz w:val="32"/>
          <w:szCs w:val="32"/>
        </w:rPr>
      </w:pPr>
    </w:p>
    <w:p w14:paraId="65161243">
      <w:pPr>
        <w:rPr>
          <w:rFonts w:hint="eastAsia"/>
          <w:sz w:val="13"/>
          <w:szCs w:val="13"/>
        </w:rPr>
      </w:pPr>
    </w:p>
    <w:p w14:paraId="75CD7096">
      <w:pPr>
        <w:jc w:val="cente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达水</w:t>
      </w:r>
      <w:r>
        <w:rPr>
          <w:rFonts w:hint="default" w:ascii="Times New Roman" w:hAnsi="Times New Roman" w:eastAsia="仿宋" w:cs="Times New Roman"/>
          <w:sz w:val="32"/>
          <w:szCs w:val="32"/>
          <w:lang w:val="en-US" w:eastAsia="zh-CN"/>
        </w:rPr>
        <w:t>审批发</w:t>
      </w:r>
      <w:r>
        <w:rPr>
          <w:rFonts w:hint="default" w:ascii="Times New Roman" w:hAnsi="Times New Roman" w:eastAsia="仿宋" w:cs="Times New Roman"/>
          <w:sz w:val="32"/>
          <w:szCs w:val="32"/>
        </w:rPr>
        <w:t>〔202</w:t>
      </w:r>
      <w:r>
        <w:rPr>
          <w:rFonts w:hint="eastAsia" w:ascii="Times New Roman" w:hAnsi="Times New Roman" w:eastAsia="仿宋" w:cs="Times New Roman"/>
          <w:sz w:val="32"/>
          <w:szCs w:val="32"/>
          <w:lang w:val="en-US" w:eastAsia="zh-CN"/>
        </w:rPr>
        <w:t>6</w:t>
      </w:r>
      <w:r>
        <w:rPr>
          <w:rFonts w:hint="default" w:ascii="Times New Roman" w:hAnsi="Times New Roman" w:eastAsia="仿宋" w:cs="Times New Roman"/>
          <w:sz w:val="32"/>
          <w:szCs w:val="32"/>
        </w:rPr>
        <w:t>〕</w:t>
      </w:r>
      <w:r>
        <w:rPr>
          <w:rFonts w:hint="eastAsia" w:ascii="Times New Roman" w:hAnsi="Times New Roman" w:eastAsia="仿宋" w:cs="Times New Roman"/>
          <w:sz w:val="32"/>
          <w:szCs w:val="32"/>
          <w:lang w:val="en-US" w:eastAsia="zh-CN"/>
        </w:rPr>
        <w:t>58</w:t>
      </w:r>
      <w:r>
        <w:rPr>
          <w:rFonts w:hint="default" w:ascii="Times New Roman" w:hAnsi="Times New Roman" w:eastAsia="仿宋" w:cs="Times New Roman"/>
          <w:sz w:val="32"/>
          <w:szCs w:val="32"/>
        </w:rPr>
        <w:t>号</w:t>
      </w:r>
      <w:bookmarkEnd w:id="0"/>
    </w:p>
    <w:p w14:paraId="37AAF4F8">
      <w:pPr>
        <w:pStyle w:val="17"/>
        <w:rPr>
          <w:rFonts w:hint="default"/>
          <w:lang w:val="en-US" w:eastAsia="zh-CN"/>
        </w:rPr>
      </w:pPr>
    </w:p>
    <w:p w14:paraId="54266C99">
      <w:pPr>
        <w:pStyle w:val="17"/>
        <w:ind w:left="0" w:leftChars="0" w:firstLine="0" w:firstLineChars="0"/>
        <w:rPr>
          <w:rFonts w:hint="default"/>
          <w:sz w:val="13"/>
          <w:szCs w:val="13"/>
          <w:lang w:val="en-US" w:eastAsia="zh-CN"/>
        </w:rPr>
      </w:pPr>
    </w:p>
    <w:p w14:paraId="6AC5202B">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方正小标宋简体" w:cs="Times New Roman"/>
          <w:b w:val="0"/>
          <w:bCs w:val="0"/>
          <w:color w:val="auto"/>
          <w:sz w:val="44"/>
          <w:szCs w:val="44"/>
          <w:lang w:val="en-US" w:eastAsia="zh-CN"/>
        </w:rPr>
      </w:pPr>
      <w:r>
        <w:rPr>
          <w:rFonts w:hint="eastAsia" w:ascii="Times New Roman" w:hAnsi="Times New Roman" w:eastAsia="方正小标宋简体" w:cs="Times New Roman"/>
          <w:b w:val="0"/>
          <w:bCs w:val="0"/>
          <w:color w:val="auto"/>
          <w:kern w:val="2"/>
          <w:sz w:val="44"/>
          <w:szCs w:val="44"/>
          <w:lang w:val="en-US" w:eastAsia="zh-CN" w:bidi="ar-SA"/>
        </w:rPr>
        <w:t>内蒙古库布齐沙漠鄂尔多斯中北部新能源基地20万千瓦光热项目</w:t>
      </w:r>
      <w:r>
        <w:rPr>
          <w:rFonts w:hint="default" w:ascii="Times New Roman" w:hAnsi="Times New Roman" w:eastAsia="方正小标宋简体" w:cs="Times New Roman"/>
          <w:b w:val="0"/>
          <w:bCs w:val="0"/>
          <w:color w:val="auto"/>
          <w:sz w:val="44"/>
          <w:szCs w:val="44"/>
          <w:lang w:val="en-US" w:eastAsia="zh-CN"/>
        </w:rPr>
        <w:t>水土保持方案报告书</w:t>
      </w:r>
    </w:p>
    <w:p w14:paraId="267F4B0F">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方正小标宋简体" w:cs="Times New Roman"/>
          <w:b w:val="0"/>
          <w:bCs w:val="0"/>
          <w:color w:val="auto"/>
          <w:sz w:val="44"/>
          <w:szCs w:val="44"/>
          <w:lang w:val="en-US" w:eastAsia="zh-CN"/>
        </w:rPr>
      </w:pPr>
      <w:r>
        <w:rPr>
          <w:rFonts w:hint="eastAsia" w:ascii="Times New Roman" w:hAnsi="Times New Roman" w:eastAsia="方正小标宋简体" w:cs="Times New Roman"/>
          <w:b w:val="0"/>
          <w:bCs w:val="0"/>
          <w:color w:val="auto"/>
          <w:sz w:val="44"/>
          <w:szCs w:val="44"/>
          <w:lang w:val="en-US" w:eastAsia="zh-CN"/>
        </w:rPr>
        <w:t>审批</w:t>
      </w:r>
      <w:r>
        <w:rPr>
          <w:rFonts w:hint="default" w:ascii="Times New Roman" w:hAnsi="Times New Roman" w:eastAsia="方正小标宋简体" w:cs="Times New Roman"/>
          <w:b w:val="0"/>
          <w:bCs w:val="0"/>
          <w:color w:val="auto"/>
          <w:sz w:val="44"/>
          <w:szCs w:val="44"/>
          <w:lang w:val="en-US" w:eastAsia="zh-CN"/>
        </w:rPr>
        <w:t>准予行政许可决定书</w:t>
      </w:r>
    </w:p>
    <w:p w14:paraId="2C1EB524">
      <w:pPr>
        <w:spacing w:line="240" w:lineRule="atLeast"/>
        <w:jc w:val="center"/>
        <w:outlineLvl w:val="0"/>
        <w:rPr>
          <w:rFonts w:hint="default" w:ascii="Times New Roman" w:hAnsi="Times New Roman" w:eastAsia="仿宋" w:cs="Times New Roman"/>
          <w:sz w:val="32"/>
          <w:szCs w:val="32"/>
          <w:lang w:eastAsia="zh-CN"/>
        </w:rPr>
      </w:pPr>
    </w:p>
    <w:p w14:paraId="52F3F8BD">
      <w:pPr>
        <w:pStyle w:val="4"/>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color w:val="000000"/>
          <w:kern w:val="0"/>
          <w:sz w:val="32"/>
          <w:szCs w:val="32"/>
          <w:lang w:val="en-US" w:eastAsia="zh-CN" w:bidi="ar"/>
        </w:rPr>
      </w:pPr>
      <w:r>
        <w:rPr>
          <w:rFonts w:hint="eastAsia" w:ascii="Times New Roman" w:hAnsi="Times New Roman" w:eastAsia="仿宋_GB2312" w:cs="Times New Roman"/>
          <w:color w:val="000000"/>
          <w:kern w:val="0"/>
          <w:sz w:val="32"/>
          <w:szCs w:val="32"/>
          <w:lang w:val="en-US" w:eastAsia="zh-CN" w:bidi="ar"/>
        </w:rPr>
        <w:t>达拉特旗交通运输服务中心</w:t>
      </w:r>
      <w:r>
        <w:rPr>
          <w:rFonts w:hint="default" w:ascii="Times New Roman" w:hAnsi="Times New Roman" w:eastAsia="仿宋_GB2312" w:cs="Times New Roman"/>
          <w:color w:val="000000"/>
          <w:kern w:val="0"/>
          <w:sz w:val="32"/>
          <w:szCs w:val="32"/>
          <w:lang w:val="en-US" w:eastAsia="zh-CN" w:bidi="ar"/>
        </w:rPr>
        <w:t>：</w:t>
      </w:r>
    </w:p>
    <w:p w14:paraId="659D1C45">
      <w:pPr>
        <w:pStyle w:val="4"/>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你单位《关于申请审查内蒙古库布齐沙漠鄂尔多斯中北部新能源基地20万千瓦光热项目</w:t>
      </w:r>
      <w:r>
        <w:rPr>
          <w:rFonts w:hint="eastAsia" w:ascii="Times New Roman" w:hAnsi="Times New Roman" w:eastAsia="仿宋_GB2312" w:cs="Times New Roman"/>
          <w:color w:val="000000"/>
          <w:kern w:val="0"/>
          <w:sz w:val="32"/>
          <w:szCs w:val="32"/>
          <w:lang w:val="en-US" w:eastAsia="zh-CN" w:bidi="ar"/>
        </w:rPr>
        <w:t>水土保持方案报告书</w:t>
      </w:r>
      <w:r>
        <w:rPr>
          <w:rFonts w:hint="default" w:ascii="Times New Roman" w:hAnsi="Times New Roman" w:eastAsia="仿宋_GB2312" w:cs="Times New Roman"/>
          <w:color w:val="000000"/>
          <w:kern w:val="0"/>
          <w:sz w:val="32"/>
          <w:szCs w:val="32"/>
          <w:lang w:val="en-US" w:eastAsia="zh-CN" w:bidi="ar"/>
        </w:rPr>
        <w:t>的请示》已收悉。经审</w:t>
      </w:r>
      <w:r>
        <w:rPr>
          <w:rFonts w:hint="eastAsia" w:ascii="Times New Roman" w:hAnsi="Times New Roman" w:eastAsia="仿宋_GB2312" w:cs="Times New Roman"/>
          <w:color w:val="000000"/>
          <w:kern w:val="0"/>
          <w:sz w:val="32"/>
          <w:szCs w:val="32"/>
          <w:lang w:val="en-US" w:eastAsia="zh-CN" w:bidi="ar"/>
        </w:rPr>
        <w:t>查</w:t>
      </w:r>
      <w:r>
        <w:rPr>
          <w:rFonts w:hint="default" w:ascii="Times New Roman" w:hAnsi="Times New Roman" w:eastAsia="仿宋_GB2312" w:cs="Times New Roman"/>
          <w:color w:val="000000"/>
          <w:kern w:val="0"/>
          <w:sz w:val="32"/>
          <w:szCs w:val="32"/>
          <w:lang w:val="en-US" w:eastAsia="zh-CN" w:bidi="ar"/>
        </w:rPr>
        <w:t>，该申请符合法定条件，根据《中华人民共和国行政许可法》第三十八条第一款、《水行政许可实施办法》第三十二条第一项，决定准予行政许可。</w:t>
      </w:r>
    </w:p>
    <w:p w14:paraId="75860969">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一、项目建设内容及项目区概况</w:t>
      </w:r>
    </w:p>
    <w:p w14:paraId="7B4EB4D3">
      <w:pPr>
        <w:pStyle w:val="4"/>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内蒙古库布齐沙漠鄂尔多斯中北部新能源基地20万千瓦光热项目位于达拉特旗恩格贝镇和昭君镇境内。</w:t>
      </w:r>
      <w:r>
        <w:rPr>
          <w:rFonts w:hint="eastAsia" w:ascii="Times New Roman" w:hAnsi="Times New Roman" w:eastAsia="仿宋_GB2312" w:cs="Times New Roman"/>
          <w:color w:val="000000"/>
          <w:kern w:val="0"/>
          <w:sz w:val="32"/>
          <w:szCs w:val="32"/>
          <w:lang w:val="en-US" w:eastAsia="zh-CN" w:bidi="ar"/>
        </w:rPr>
        <w:t>2026年2月27日，达拉特旗能源局出具了项目备案告知书，项目代码：2403-150621-60-01-202845。</w:t>
      </w:r>
      <w:r>
        <w:rPr>
          <w:rFonts w:hint="default" w:ascii="Times New Roman" w:hAnsi="Times New Roman" w:eastAsia="仿宋_GB2312" w:cs="Times New Roman"/>
          <w:color w:val="000000"/>
          <w:kern w:val="0"/>
          <w:sz w:val="32"/>
          <w:szCs w:val="32"/>
          <w:lang w:val="en-US" w:eastAsia="zh-CN" w:bidi="ar"/>
        </w:rPr>
        <w:t>项目建设规模为总装机容量200兆瓦储热型光热发电项目，建设1×200兆瓦亚临界再热纯凝空冷发电机组。采用熔盐槽式技术路线，镜场总采光面积160万平方米，配置熔盐储热系统，储热时长8小时。</w:t>
      </w:r>
    </w:p>
    <w:p w14:paraId="400A5ED5">
      <w:pPr>
        <w:pStyle w:val="4"/>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textAlignment w:val="auto"/>
        <w:rPr>
          <w:rFonts w:hint="eastAsia"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本工程为新建建设类项目，属于大型光热发电项目</w:t>
      </w:r>
      <w:r>
        <w:rPr>
          <w:rFonts w:hint="eastAsia" w:ascii="Times New Roman" w:hAnsi="Times New Roman" w:eastAsia="仿宋_GB2312" w:cs="Times New Roman"/>
          <w:color w:val="000000"/>
          <w:kern w:val="0"/>
          <w:sz w:val="32"/>
          <w:szCs w:val="32"/>
          <w:lang w:val="en-US" w:eastAsia="zh-CN" w:bidi="ar"/>
        </w:rPr>
        <w:t>。项目</w:t>
      </w:r>
      <w:r>
        <w:rPr>
          <w:rFonts w:hint="default" w:ascii="Times New Roman" w:hAnsi="Times New Roman" w:eastAsia="仿宋_GB2312" w:cs="Times New Roman"/>
          <w:color w:val="000000"/>
          <w:kern w:val="0"/>
          <w:sz w:val="32"/>
          <w:szCs w:val="32"/>
          <w:lang w:val="en-US" w:eastAsia="zh-CN" w:bidi="ar"/>
        </w:rPr>
        <w:t>由发电厂区、集热场区、进场道路和施工生产生活区等组成</w:t>
      </w:r>
      <w:r>
        <w:rPr>
          <w:rFonts w:hint="eastAsia" w:ascii="Times New Roman" w:hAnsi="Times New Roman" w:eastAsia="仿宋_GB2312" w:cs="Times New Roman"/>
          <w:color w:val="000000"/>
          <w:kern w:val="0"/>
          <w:sz w:val="32"/>
          <w:szCs w:val="32"/>
          <w:lang w:val="en-US" w:eastAsia="zh-CN" w:bidi="ar"/>
        </w:rPr>
        <w:t>。本项目建设征占地517.47公顷，其中永久占地507.47公顷，临时占地10.00公顷，占地类型为沙地和其他草地。工程建设共动用土石方总量1638.34万立方米，其中挖方量819.17万立方米，填方量819.17万立方米，挖填平衡，无借方、无余方。工程总投资375974万元，其中土建投资112783万元。工程预计2026年10月开工，计划于2028年12月完工，总工期27个月。</w:t>
      </w:r>
    </w:p>
    <w:p w14:paraId="5E19457A">
      <w:pPr>
        <w:pStyle w:val="4"/>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项目区地处库布齐沙漠北缘，属中温带半干旱大陆性气候。多年平均气温6.1摄氏度、风速3.2米/秒、降水量310.3毫米、蒸发量2161.3毫米、大于等于10摄氏度积温2942.1摄氏度，无霜期135天、最大冻土深1.62米。土壤类型以风沙土为主。植被类型为荒漠草原植被，林草覆盖率5.0%左右。</w:t>
      </w:r>
    </w:p>
    <w:p w14:paraId="55AC49AA">
      <w:pPr>
        <w:pStyle w:val="4"/>
        <w:keepNext w:val="0"/>
        <w:keepLines w:val="0"/>
        <w:pageBreakBefore w:val="0"/>
        <w:widowControl w:val="0"/>
        <w:kinsoku/>
        <w:wordWrap/>
        <w:overflowPunct/>
        <w:topLinePunct w:val="0"/>
        <w:autoSpaceDE/>
        <w:autoSpaceDN/>
        <w:bidi w:val="0"/>
        <w:adjustRightInd/>
        <w:snapToGrid/>
        <w:spacing w:line="540" w:lineRule="exact"/>
        <w:ind w:left="1356" w:leftChars="268" w:hanging="793" w:hangingChars="248"/>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项目区现状土壤侵蚀类型</w:t>
      </w:r>
      <w:r>
        <w:rPr>
          <w:rFonts w:hint="eastAsia" w:ascii="Times New Roman" w:hAnsi="Times New Roman" w:eastAsia="仿宋_GB2312" w:cs="Times New Roman"/>
          <w:color w:val="000000"/>
          <w:kern w:val="0"/>
          <w:sz w:val="32"/>
          <w:szCs w:val="32"/>
          <w:lang w:val="en-US" w:eastAsia="zh-CN" w:bidi="ar"/>
        </w:rPr>
        <w:t>以强烈</w:t>
      </w:r>
      <w:r>
        <w:rPr>
          <w:rFonts w:hint="default" w:ascii="Times New Roman" w:hAnsi="Times New Roman" w:eastAsia="仿宋_GB2312" w:cs="Times New Roman"/>
          <w:color w:val="000000"/>
          <w:kern w:val="0"/>
          <w:sz w:val="32"/>
          <w:szCs w:val="32"/>
          <w:lang w:val="en-US" w:eastAsia="zh-CN" w:bidi="ar"/>
        </w:rPr>
        <w:t>风力侵蚀为主，</w:t>
      </w:r>
      <w:r>
        <w:rPr>
          <w:rFonts w:hint="eastAsia" w:ascii="Times New Roman" w:hAnsi="Times New Roman" w:eastAsia="仿宋_GB2312" w:cs="Times New Roman"/>
          <w:color w:val="000000"/>
          <w:kern w:val="0"/>
          <w:sz w:val="32"/>
          <w:szCs w:val="32"/>
          <w:lang w:val="en-US" w:eastAsia="zh-CN" w:bidi="ar"/>
        </w:rPr>
        <w:t>间</w:t>
      </w:r>
      <w:r>
        <w:rPr>
          <w:rFonts w:hint="default" w:ascii="Times New Roman" w:hAnsi="Times New Roman" w:eastAsia="仿宋_GB2312" w:cs="Times New Roman"/>
          <w:color w:val="000000"/>
          <w:kern w:val="0"/>
          <w:sz w:val="32"/>
          <w:szCs w:val="32"/>
          <w:lang w:val="en-US" w:eastAsia="zh-CN" w:bidi="ar"/>
        </w:rPr>
        <w:t>有水力侵</w:t>
      </w:r>
    </w:p>
    <w:p w14:paraId="0DFB6041">
      <w:pPr>
        <w:pStyle w:val="4"/>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蚀</w:t>
      </w:r>
      <w:r>
        <w:rPr>
          <w:rFonts w:hint="eastAsia" w:ascii="Times New Roman" w:hAnsi="Times New Roman" w:eastAsia="仿宋_GB2312" w:cs="Times New Roman"/>
          <w:color w:val="000000"/>
          <w:kern w:val="0"/>
          <w:sz w:val="32"/>
          <w:szCs w:val="32"/>
          <w:highlight w:val="none"/>
          <w:lang w:val="en-US" w:eastAsia="zh-CN" w:bidi="ar"/>
        </w:rPr>
        <w:t>。项目区风力侵蚀模数为4500t/km</w:t>
      </w:r>
      <w:r>
        <w:rPr>
          <w:rFonts w:hint="eastAsia" w:ascii="Times New Roman" w:hAnsi="Times New Roman" w:eastAsia="仿宋_GB2312" w:cs="Times New Roman"/>
          <w:color w:val="000000"/>
          <w:kern w:val="0"/>
          <w:sz w:val="32"/>
          <w:szCs w:val="32"/>
          <w:highlight w:val="none"/>
          <w:vertAlign w:val="superscript"/>
          <w:lang w:val="en-US" w:eastAsia="zh-CN" w:bidi="ar"/>
        </w:rPr>
        <w:t>2</w:t>
      </w:r>
      <w:r>
        <w:rPr>
          <w:rFonts w:hint="eastAsia" w:ascii="Times New Roman" w:hAnsi="Times New Roman" w:eastAsia="仿宋_GB2312" w:cs="Times New Roman"/>
          <w:color w:val="000000"/>
          <w:kern w:val="0"/>
          <w:sz w:val="32"/>
          <w:szCs w:val="32"/>
          <w:highlight w:val="none"/>
          <w:lang w:val="en-US" w:eastAsia="zh-CN" w:bidi="ar"/>
        </w:rPr>
        <w:t>·a，水力侵蚀模数600t/km</w:t>
      </w:r>
      <w:r>
        <w:rPr>
          <w:rFonts w:hint="eastAsia" w:ascii="Times New Roman" w:hAnsi="Times New Roman" w:eastAsia="仿宋_GB2312" w:cs="Times New Roman"/>
          <w:color w:val="000000"/>
          <w:kern w:val="0"/>
          <w:sz w:val="32"/>
          <w:szCs w:val="32"/>
          <w:highlight w:val="none"/>
          <w:vertAlign w:val="superscript"/>
          <w:lang w:val="en-US" w:eastAsia="zh-CN" w:bidi="ar"/>
        </w:rPr>
        <w:t>2</w:t>
      </w:r>
      <w:r>
        <w:rPr>
          <w:rFonts w:hint="eastAsia" w:ascii="Times New Roman" w:hAnsi="Times New Roman" w:eastAsia="仿宋_GB2312" w:cs="Times New Roman"/>
          <w:color w:val="000000"/>
          <w:kern w:val="0"/>
          <w:sz w:val="32"/>
          <w:szCs w:val="32"/>
          <w:highlight w:val="none"/>
          <w:lang w:val="en-US" w:eastAsia="zh-CN" w:bidi="ar"/>
        </w:rPr>
        <w:t>·a。</w:t>
      </w:r>
      <w:r>
        <w:rPr>
          <w:rFonts w:hint="default" w:ascii="Times New Roman" w:hAnsi="Times New Roman" w:eastAsia="仿宋_GB2312" w:cs="Times New Roman"/>
          <w:color w:val="000000"/>
          <w:kern w:val="0"/>
          <w:sz w:val="32"/>
          <w:szCs w:val="32"/>
          <w:highlight w:val="none"/>
          <w:lang w:val="en-US" w:eastAsia="zh-CN" w:bidi="ar"/>
        </w:rPr>
        <w:t>项目区容许土壤流失量</w:t>
      </w:r>
      <w:r>
        <w:rPr>
          <w:rFonts w:hint="default" w:ascii="Times New Roman" w:hAnsi="Times New Roman" w:eastAsia="仿宋_GB2312" w:cs="Times New Roman"/>
          <w:color w:val="000000"/>
          <w:kern w:val="0"/>
          <w:sz w:val="32"/>
          <w:szCs w:val="32"/>
          <w:lang w:val="en-US" w:eastAsia="zh-CN" w:bidi="ar"/>
        </w:rPr>
        <w:t>为1000t/k</w:t>
      </w:r>
      <w:r>
        <w:rPr>
          <w:rFonts w:hint="eastAsia" w:ascii="Times New Roman" w:hAnsi="Times New Roman" w:eastAsia="仿宋_GB2312" w:cs="Times New Roman"/>
          <w:color w:val="000000"/>
          <w:kern w:val="0"/>
          <w:sz w:val="32"/>
          <w:szCs w:val="32"/>
          <w:lang w:val="en-US" w:eastAsia="zh-CN" w:bidi="ar"/>
        </w:rPr>
        <w:t>㎡</w:t>
      </w:r>
      <w:r>
        <w:rPr>
          <w:rFonts w:hint="default" w:ascii="Times New Roman" w:hAnsi="Times New Roman" w:eastAsia="仿宋_GB2312" w:cs="Times New Roman"/>
          <w:color w:val="000000"/>
          <w:kern w:val="0"/>
          <w:sz w:val="32"/>
          <w:szCs w:val="32"/>
          <w:lang w:val="en-US" w:eastAsia="zh-CN" w:bidi="ar"/>
        </w:rPr>
        <w:t>·a。项目所在区域为鄂尔多斯市水土流失重点预防区，在全国水土保持区划中属西北黄土高原区。</w:t>
      </w:r>
    </w:p>
    <w:p w14:paraId="333F76DB">
      <w:pPr>
        <w:pStyle w:val="4"/>
        <w:keepNext w:val="0"/>
        <w:keepLines w:val="0"/>
        <w:pageBreakBefore w:val="0"/>
        <w:widowControl w:val="0"/>
        <w:kinsoku/>
        <w:wordWrap/>
        <w:overflowPunct/>
        <w:topLinePunct w:val="0"/>
        <w:autoSpaceDE/>
        <w:autoSpaceDN/>
        <w:bidi w:val="0"/>
        <w:adjustRightInd/>
        <w:snapToGrid/>
        <w:spacing w:line="540" w:lineRule="exact"/>
        <w:ind w:left="1356" w:leftChars="268" w:hanging="793" w:hangingChars="248"/>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方案设计水平</w:t>
      </w:r>
      <w:r>
        <w:rPr>
          <w:rFonts w:hint="default" w:ascii="Times New Roman" w:hAnsi="Times New Roman" w:eastAsia="仿宋_GB2312" w:cs="Times New Roman"/>
          <w:color w:val="000000"/>
          <w:kern w:val="0"/>
          <w:sz w:val="32"/>
          <w:szCs w:val="32"/>
          <w:highlight w:val="none"/>
          <w:lang w:val="en-US" w:eastAsia="zh-CN" w:bidi="ar"/>
        </w:rPr>
        <w:t>年为202</w:t>
      </w:r>
      <w:r>
        <w:rPr>
          <w:rFonts w:hint="eastAsia" w:ascii="Times New Roman" w:hAnsi="Times New Roman" w:eastAsia="仿宋_GB2312" w:cs="Times New Roman"/>
          <w:color w:val="000000"/>
          <w:kern w:val="0"/>
          <w:sz w:val="32"/>
          <w:szCs w:val="32"/>
          <w:highlight w:val="none"/>
          <w:lang w:val="en-US" w:eastAsia="zh-CN" w:bidi="ar"/>
        </w:rPr>
        <w:t>9</w:t>
      </w:r>
      <w:r>
        <w:rPr>
          <w:rFonts w:hint="default" w:ascii="Times New Roman" w:hAnsi="Times New Roman" w:eastAsia="仿宋_GB2312" w:cs="Times New Roman"/>
          <w:color w:val="000000"/>
          <w:kern w:val="0"/>
          <w:sz w:val="32"/>
          <w:szCs w:val="32"/>
          <w:highlight w:val="none"/>
          <w:lang w:val="en-US" w:eastAsia="zh-CN" w:bidi="ar"/>
        </w:rPr>
        <w:t>年</w:t>
      </w:r>
      <w:r>
        <w:rPr>
          <w:rFonts w:hint="default" w:ascii="Times New Roman" w:hAnsi="Times New Roman" w:eastAsia="仿宋_GB2312" w:cs="Times New Roman"/>
          <w:color w:val="000000"/>
          <w:kern w:val="0"/>
          <w:sz w:val="32"/>
          <w:szCs w:val="32"/>
          <w:lang w:val="en-US" w:eastAsia="zh-CN" w:bidi="ar"/>
        </w:rPr>
        <w:t>，届时方案确定的各项水土保</w:t>
      </w:r>
    </w:p>
    <w:p w14:paraId="4F0E4A4A">
      <w:pPr>
        <w:pStyle w:val="4"/>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持措施均应实施完成并初步发挥效应，满足水土保持专项验</w:t>
      </w:r>
    </w:p>
    <w:p w14:paraId="5CF968DD">
      <w:pPr>
        <w:pStyle w:val="4"/>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收的要求。</w:t>
      </w:r>
    </w:p>
    <w:p w14:paraId="38AA33CE">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二、主体工程水土保持分析与评价</w:t>
      </w:r>
    </w:p>
    <w:p w14:paraId="5B0DADCD">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基本同意对主体工程水土保持制约性因素的分析与评价结论，项目区涉及国家级水土流失重点治理区，应加强保护、治理和补偿措施；项目建设区地处生态环境脆弱区，工程建设中应当提高防治标准，优化施工工艺，减少植被扰动和损坏土地范围；基本同意对工程占地、土石方平衡、施工工艺及方法等的分析与评价；基本同意对主体设计中具有水土保持功能工程的界定和评价。</w:t>
      </w:r>
    </w:p>
    <w:p w14:paraId="67F7F8E6">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三、水土流失防治责任范围</w:t>
      </w:r>
    </w:p>
    <w:p w14:paraId="3D78BD6B">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项目水土流失防治责任范围为548.35公顷。其中项目建设区为517.47公顷，项目区外围风沙防护用地30.88公顷。</w:t>
      </w:r>
    </w:p>
    <w:p w14:paraId="70BE044D">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四、水土流失调查</w:t>
      </w:r>
    </w:p>
    <w:p w14:paraId="0AA5A9E0">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Times New Roman" w:hAnsi="Times New Roman" w:eastAsia="仿宋_GB2312" w:cs="Times New Roman"/>
          <w:color w:val="000000"/>
          <w:kern w:val="0"/>
          <w:sz w:val="32"/>
          <w:szCs w:val="32"/>
          <w:highlight w:val="none"/>
          <w:lang w:val="en-US" w:eastAsia="zh-CN" w:bidi="ar"/>
        </w:rPr>
      </w:pPr>
      <w:r>
        <w:rPr>
          <w:rFonts w:hint="default" w:ascii="Times New Roman" w:hAnsi="Times New Roman" w:eastAsia="仿宋_GB2312" w:cs="Times New Roman"/>
          <w:color w:val="000000"/>
          <w:kern w:val="0"/>
          <w:sz w:val="32"/>
          <w:szCs w:val="32"/>
          <w:lang w:val="en-US" w:eastAsia="zh-CN" w:bidi="ar"/>
        </w:rPr>
        <w:t>基本同意水土流失防治目标为：水土流失治理度93%、土壤流失控制比0.8、渣土防护率92%、林草植被恢复率95%、林草覆盖率</w:t>
      </w:r>
      <w:r>
        <w:rPr>
          <w:rFonts w:hint="eastAsia" w:ascii="Times New Roman" w:hAnsi="Times New Roman" w:eastAsia="仿宋_GB2312" w:cs="Times New Roman"/>
          <w:color w:val="000000"/>
          <w:kern w:val="0"/>
          <w:sz w:val="32"/>
          <w:szCs w:val="32"/>
          <w:lang w:val="en-US" w:eastAsia="zh-CN" w:bidi="ar"/>
        </w:rPr>
        <w:t>5</w:t>
      </w:r>
      <w:r>
        <w:rPr>
          <w:rFonts w:hint="default" w:ascii="Times New Roman" w:hAnsi="Times New Roman" w:eastAsia="仿宋_GB2312" w:cs="Times New Roman"/>
          <w:color w:val="000000"/>
          <w:kern w:val="0"/>
          <w:sz w:val="32"/>
          <w:szCs w:val="32"/>
          <w:lang w:val="en-US" w:eastAsia="zh-CN" w:bidi="ar"/>
        </w:rPr>
        <w:t>%</w:t>
      </w:r>
      <w:r>
        <w:rPr>
          <w:rFonts w:hint="eastAsia" w:ascii="Times New Roman" w:hAnsi="Times New Roman" w:eastAsia="仿宋_GB2312" w:cs="Times New Roman"/>
          <w:color w:val="000000"/>
          <w:kern w:val="0"/>
          <w:sz w:val="32"/>
          <w:szCs w:val="32"/>
          <w:highlight w:val="none"/>
          <w:lang w:val="en-US" w:eastAsia="zh-CN" w:bidi="ar"/>
        </w:rPr>
        <w:t>。项目区无可剥离表土，表土保护率不作要求。经预测本工程建设扰动损坏地表面积517.47公顷，工程建设期内可能造成的水土流失总量19.36万吨，其中新增水土流失量5.25万吨。集热场区是本项目水土流失重点防治区域。</w:t>
      </w:r>
    </w:p>
    <w:p w14:paraId="615A8DD3">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黑体" w:hAnsi="黑体" w:eastAsia="黑体" w:cs="黑体"/>
          <w:b/>
          <w:bCs/>
          <w:sz w:val="32"/>
          <w:szCs w:val="32"/>
        </w:rPr>
      </w:pPr>
      <w:r>
        <w:rPr>
          <w:rFonts w:hint="eastAsia" w:ascii="黑体" w:hAnsi="黑体" w:eastAsia="黑体" w:cs="黑体"/>
          <w:b w:val="0"/>
          <w:bCs w:val="0"/>
          <w:sz w:val="32"/>
          <w:szCs w:val="32"/>
        </w:rPr>
        <w:t>五、水土流失防治分区及分区防治措施</w:t>
      </w:r>
    </w:p>
    <w:p w14:paraId="5FBD53E0">
      <w:pPr>
        <w:pStyle w:val="6"/>
        <w:keepNext w:val="0"/>
        <w:keepLines w:val="0"/>
        <w:pageBreakBefore w:val="0"/>
        <w:kinsoku/>
        <w:wordWrap/>
        <w:overflowPunct/>
        <w:topLinePunct w:val="0"/>
        <w:autoSpaceDE/>
        <w:autoSpaceDN/>
        <w:bidi w:val="0"/>
        <w:spacing w:line="540" w:lineRule="exact"/>
        <w:ind w:left="0" w:leftChars="0" w:firstLine="640" w:firstLineChars="200"/>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 w:cs="Times New Roman"/>
          <w:sz w:val="32"/>
          <w:szCs w:val="32"/>
        </w:rPr>
        <w:t>同</w:t>
      </w:r>
      <w:r>
        <w:rPr>
          <w:rFonts w:hint="default" w:ascii="Times New Roman" w:hAnsi="Times New Roman" w:eastAsia="仿宋_GB2312" w:cs="Times New Roman"/>
          <w:color w:val="000000"/>
          <w:kern w:val="0"/>
          <w:sz w:val="32"/>
          <w:szCs w:val="32"/>
          <w:lang w:val="en-US" w:eastAsia="zh-CN" w:bidi="ar"/>
        </w:rPr>
        <w:t>意项目水土流失防治执行西北黄土高原区一级标准。</w:t>
      </w:r>
    </w:p>
    <w:p w14:paraId="627EC269">
      <w:pPr>
        <w:keepNext w:val="0"/>
        <w:keepLines w:val="0"/>
        <w:pageBreakBefore w:val="0"/>
        <w:kinsoku/>
        <w:wordWrap/>
        <w:overflowPunct/>
        <w:topLinePunct w:val="0"/>
        <w:autoSpaceDE/>
        <w:autoSpaceDN/>
        <w:bidi w:val="0"/>
        <w:snapToGrid w:val="0"/>
        <w:spacing w:line="540" w:lineRule="exact"/>
        <w:ind w:firstLine="640" w:firstLineChars="200"/>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同意依据工程布局将水土流失防治区划分为发电厂区、集热场区、进场道路区、施工生产生活区和征占地外风沙防护区5个水土流失防治分区</w:t>
      </w:r>
      <w:r>
        <w:rPr>
          <w:rFonts w:hint="eastAsia" w:ascii="Times New Roman" w:hAnsi="Times New Roman" w:eastAsia="仿宋_GB2312" w:cs="Times New Roman"/>
          <w:color w:val="000000"/>
          <w:kern w:val="0"/>
          <w:sz w:val="32"/>
          <w:szCs w:val="32"/>
          <w:lang w:val="en-US" w:eastAsia="zh-CN" w:bidi="ar"/>
        </w:rPr>
        <w:t>。</w:t>
      </w:r>
      <w:r>
        <w:rPr>
          <w:rFonts w:hint="default" w:ascii="Times New Roman" w:hAnsi="Times New Roman" w:eastAsia="仿宋_GB2312" w:cs="Times New Roman"/>
          <w:color w:val="000000"/>
          <w:kern w:val="0"/>
          <w:sz w:val="32"/>
          <w:szCs w:val="32"/>
          <w:lang w:val="en-US" w:eastAsia="zh-CN" w:bidi="ar"/>
        </w:rPr>
        <w:t>方案水土流失防治措施体系为工程措施、植物措施和临时措施组成。</w:t>
      </w:r>
    </w:p>
    <w:p w14:paraId="66CD23D4">
      <w:pPr>
        <w:keepNext w:val="0"/>
        <w:keepLines w:val="0"/>
        <w:pageBreakBefore w:val="0"/>
        <w:numPr>
          <w:ilvl w:val="0"/>
          <w:numId w:val="0"/>
        </w:numPr>
        <w:kinsoku/>
        <w:wordWrap/>
        <w:overflowPunct/>
        <w:topLinePunct w:val="0"/>
        <w:autoSpaceDE/>
        <w:autoSpaceDN/>
        <w:bidi w:val="0"/>
        <w:snapToGrid w:val="0"/>
        <w:spacing w:line="540" w:lineRule="exact"/>
        <w:ind w:firstLine="643" w:firstLineChars="200"/>
        <w:rPr>
          <w:rFonts w:hint="eastAsia" w:ascii="Times New Roman" w:hAnsi="Times New Roman" w:eastAsia="仿宋_GB2312" w:cs="Times New Roman"/>
          <w:color w:val="000000"/>
          <w:kern w:val="0"/>
          <w:sz w:val="32"/>
          <w:szCs w:val="32"/>
          <w:lang w:val="en-US" w:eastAsia="zh-CN" w:bidi="ar"/>
        </w:rPr>
      </w:pPr>
      <w:r>
        <w:rPr>
          <w:rFonts w:hint="eastAsia" w:ascii="Times New Roman" w:hAnsi="Times New Roman" w:eastAsia="仿宋_GB2312" w:cs="Times New Roman"/>
          <w:b/>
          <w:bCs/>
          <w:color w:val="000000"/>
          <w:kern w:val="0"/>
          <w:sz w:val="32"/>
          <w:szCs w:val="32"/>
          <w:highlight w:val="none"/>
          <w:lang w:val="en-US" w:eastAsia="zh-CN" w:bidi="ar"/>
        </w:rPr>
        <w:t>1.发电厂区，</w:t>
      </w:r>
      <w:r>
        <w:rPr>
          <w:rFonts w:hint="default" w:ascii="Times New Roman" w:hAnsi="Times New Roman" w:eastAsia="仿宋_GB2312" w:cs="Times New Roman"/>
          <w:b/>
          <w:bCs/>
          <w:color w:val="000000"/>
          <w:kern w:val="0"/>
          <w:sz w:val="32"/>
          <w:szCs w:val="32"/>
          <w:highlight w:val="none"/>
          <w:lang w:val="en-US" w:eastAsia="zh-CN" w:bidi="ar"/>
        </w:rPr>
        <w:t>工程措施</w:t>
      </w:r>
      <w:r>
        <w:rPr>
          <w:rFonts w:hint="default" w:ascii="Times New Roman" w:hAnsi="Times New Roman" w:eastAsia="仿宋_GB2312" w:cs="Times New Roman"/>
          <w:color w:val="000000"/>
          <w:kern w:val="0"/>
          <w:sz w:val="32"/>
          <w:szCs w:val="32"/>
          <w:highlight w:val="none"/>
          <w:lang w:val="en-US" w:eastAsia="zh-CN" w:bidi="ar"/>
        </w:rPr>
        <w:t>：混凝土排水沟1480m，土地平整6.90hm</w:t>
      </w:r>
      <w:r>
        <w:rPr>
          <w:rFonts w:hint="default" w:ascii="Times New Roman" w:hAnsi="Times New Roman" w:eastAsia="仿宋_GB2312" w:cs="Times New Roman"/>
          <w:color w:val="000000"/>
          <w:kern w:val="0"/>
          <w:sz w:val="32"/>
          <w:szCs w:val="32"/>
          <w:highlight w:val="none"/>
          <w:vertAlign w:val="superscript"/>
          <w:lang w:val="en-US" w:eastAsia="zh-CN" w:bidi="ar"/>
        </w:rPr>
        <w:t>2</w:t>
      </w:r>
      <w:r>
        <w:rPr>
          <w:rFonts w:hint="default" w:ascii="Times New Roman" w:hAnsi="Times New Roman" w:eastAsia="仿宋_GB2312" w:cs="Times New Roman"/>
          <w:color w:val="000000"/>
          <w:kern w:val="0"/>
          <w:sz w:val="32"/>
          <w:szCs w:val="32"/>
          <w:highlight w:val="none"/>
          <w:lang w:val="en-US" w:eastAsia="zh-CN" w:bidi="ar"/>
        </w:rPr>
        <w:t>，土壤改良6.90hm</w:t>
      </w:r>
      <w:r>
        <w:rPr>
          <w:rFonts w:hint="default" w:ascii="Times New Roman" w:hAnsi="Times New Roman" w:eastAsia="仿宋_GB2312" w:cs="Times New Roman"/>
          <w:color w:val="000000"/>
          <w:kern w:val="0"/>
          <w:sz w:val="32"/>
          <w:szCs w:val="32"/>
          <w:highlight w:val="none"/>
          <w:vertAlign w:val="superscript"/>
          <w:lang w:val="en-US" w:eastAsia="zh-CN" w:bidi="ar"/>
        </w:rPr>
        <w:t>2</w:t>
      </w:r>
      <w:r>
        <w:rPr>
          <w:rFonts w:hint="default" w:ascii="Times New Roman" w:hAnsi="Times New Roman" w:eastAsia="仿宋_GB2312" w:cs="Times New Roman"/>
          <w:color w:val="000000"/>
          <w:kern w:val="0"/>
          <w:sz w:val="32"/>
          <w:szCs w:val="32"/>
          <w:highlight w:val="none"/>
          <w:lang w:val="en-US" w:eastAsia="zh-CN" w:bidi="ar"/>
        </w:rPr>
        <w:t>，低立式沙柳沙障1.73hm</w:t>
      </w:r>
      <w:r>
        <w:rPr>
          <w:rFonts w:hint="default" w:ascii="Times New Roman" w:hAnsi="Times New Roman" w:eastAsia="仿宋_GB2312" w:cs="Times New Roman"/>
          <w:color w:val="000000"/>
          <w:kern w:val="0"/>
          <w:sz w:val="32"/>
          <w:szCs w:val="32"/>
          <w:highlight w:val="none"/>
          <w:vertAlign w:val="superscript"/>
          <w:lang w:val="en-US" w:eastAsia="zh-CN" w:bidi="ar"/>
        </w:rPr>
        <w:t>2</w:t>
      </w:r>
      <w:r>
        <w:rPr>
          <w:rFonts w:hint="eastAsia" w:ascii="Times New Roman" w:hAnsi="Times New Roman" w:eastAsia="仿宋_GB2312" w:cs="Times New Roman"/>
          <w:color w:val="000000"/>
          <w:kern w:val="0"/>
          <w:sz w:val="32"/>
          <w:szCs w:val="32"/>
          <w:highlight w:val="none"/>
          <w:lang w:val="en-US" w:eastAsia="zh-CN" w:bidi="ar"/>
        </w:rPr>
        <w:t>。</w:t>
      </w:r>
      <w:r>
        <w:rPr>
          <w:rFonts w:hint="eastAsia" w:ascii="Times New Roman" w:hAnsi="Times New Roman" w:eastAsia="仿宋_GB2312" w:cs="Times New Roman"/>
          <w:b/>
          <w:bCs/>
          <w:color w:val="000000"/>
          <w:kern w:val="0"/>
          <w:sz w:val="32"/>
          <w:szCs w:val="32"/>
          <w:highlight w:val="none"/>
          <w:lang w:val="zh-CN" w:eastAsia="zh-CN" w:bidi="ar"/>
        </w:rPr>
        <w:t>植物措施：</w:t>
      </w:r>
      <w:r>
        <w:rPr>
          <w:rFonts w:hint="default" w:ascii="Times New Roman" w:hAnsi="Times New Roman" w:eastAsia="仿宋_GB2312" w:cs="Times New Roman"/>
          <w:color w:val="000000"/>
          <w:kern w:val="0"/>
          <w:sz w:val="32"/>
          <w:szCs w:val="32"/>
          <w:highlight w:val="none"/>
          <w:lang w:val="en-US" w:eastAsia="zh-CN" w:bidi="ar"/>
        </w:rPr>
        <w:t>撒播种草6.90hm</w:t>
      </w:r>
      <w:r>
        <w:rPr>
          <w:rFonts w:hint="default" w:ascii="Times New Roman" w:hAnsi="Times New Roman" w:eastAsia="仿宋_GB2312" w:cs="Times New Roman"/>
          <w:color w:val="000000"/>
          <w:kern w:val="0"/>
          <w:sz w:val="32"/>
          <w:szCs w:val="32"/>
          <w:highlight w:val="none"/>
          <w:vertAlign w:val="superscript"/>
          <w:lang w:val="en-US" w:eastAsia="zh-CN" w:bidi="ar"/>
        </w:rPr>
        <w:t>2</w:t>
      </w:r>
      <w:r>
        <w:rPr>
          <w:rFonts w:hint="default" w:ascii="Times New Roman" w:hAnsi="Times New Roman" w:eastAsia="仿宋_GB2312" w:cs="Times New Roman"/>
          <w:color w:val="000000"/>
          <w:kern w:val="0"/>
          <w:sz w:val="32"/>
          <w:szCs w:val="32"/>
          <w:highlight w:val="none"/>
          <w:lang w:val="en-US" w:eastAsia="zh-CN" w:bidi="ar"/>
        </w:rPr>
        <w:t>，栽植金叶榆590株，油松50株，沙枣50株，紫丁香100株，羊柴17400株，沙柳100株</w:t>
      </w:r>
      <w:r>
        <w:rPr>
          <w:rFonts w:hint="eastAsia" w:ascii="Times New Roman" w:hAnsi="Times New Roman" w:eastAsia="仿宋_GB2312" w:cs="Times New Roman"/>
          <w:color w:val="000000"/>
          <w:kern w:val="0"/>
          <w:sz w:val="32"/>
          <w:szCs w:val="32"/>
          <w:highlight w:val="none"/>
          <w:lang w:val="en-US" w:eastAsia="zh-CN" w:bidi="ar"/>
        </w:rPr>
        <w:t>。</w:t>
      </w:r>
      <w:r>
        <w:rPr>
          <w:rFonts w:hint="eastAsia" w:ascii="Times New Roman" w:hAnsi="Times New Roman" w:eastAsia="仿宋_GB2312" w:cs="Times New Roman"/>
          <w:b/>
          <w:bCs/>
          <w:color w:val="000000"/>
          <w:kern w:val="0"/>
          <w:sz w:val="32"/>
          <w:szCs w:val="32"/>
          <w:highlight w:val="none"/>
          <w:lang w:val="en-US" w:eastAsia="zh-CN" w:bidi="ar"/>
        </w:rPr>
        <w:t>临时措施：</w:t>
      </w:r>
      <w:r>
        <w:rPr>
          <w:rFonts w:hint="eastAsia" w:ascii="Times New Roman" w:hAnsi="Times New Roman" w:eastAsia="仿宋_GB2312" w:cs="Times New Roman"/>
          <w:color w:val="000000"/>
          <w:kern w:val="0"/>
          <w:sz w:val="32"/>
          <w:szCs w:val="32"/>
          <w:lang w:val="en-US" w:eastAsia="zh-CN" w:bidi="ar"/>
        </w:rPr>
        <w:t>土质排水沟2700m，沉沙池2座，草帘苫盖4.60hm</w:t>
      </w:r>
      <w:r>
        <w:rPr>
          <w:rFonts w:hint="eastAsia" w:ascii="Times New Roman" w:hAnsi="Times New Roman" w:eastAsia="仿宋_GB2312" w:cs="Times New Roman"/>
          <w:color w:val="000000"/>
          <w:kern w:val="0"/>
          <w:sz w:val="32"/>
          <w:szCs w:val="32"/>
          <w:vertAlign w:val="superscript"/>
          <w:lang w:val="en-US" w:eastAsia="zh-CN" w:bidi="ar"/>
        </w:rPr>
        <w:t>2</w:t>
      </w:r>
      <w:r>
        <w:rPr>
          <w:rFonts w:hint="eastAsia" w:ascii="Times New Roman" w:hAnsi="Times New Roman" w:eastAsia="仿宋_GB2312" w:cs="Times New Roman"/>
          <w:color w:val="000000"/>
          <w:kern w:val="0"/>
          <w:sz w:val="32"/>
          <w:szCs w:val="32"/>
          <w:lang w:val="en-US" w:eastAsia="zh-CN" w:bidi="ar"/>
        </w:rPr>
        <w:t>。</w:t>
      </w:r>
    </w:p>
    <w:p w14:paraId="2A681156">
      <w:pPr>
        <w:keepNext w:val="0"/>
        <w:keepLines w:val="0"/>
        <w:pageBreakBefore w:val="0"/>
        <w:numPr>
          <w:ilvl w:val="0"/>
          <w:numId w:val="0"/>
        </w:numPr>
        <w:kinsoku/>
        <w:wordWrap/>
        <w:overflowPunct/>
        <w:topLinePunct w:val="0"/>
        <w:autoSpaceDE/>
        <w:autoSpaceDN/>
        <w:bidi w:val="0"/>
        <w:snapToGrid w:val="0"/>
        <w:spacing w:line="540" w:lineRule="exact"/>
        <w:ind w:firstLine="643" w:firstLineChars="200"/>
        <w:rPr>
          <w:rFonts w:hint="eastAsia" w:ascii="Times New Roman" w:hAnsi="Times New Roman" w:eastAsia="仿宋_GB2312" w:cs="Times New Roman"/>
          <w:color w:val="000000"/>
          <w:kern w:val="0"/>
          <w:sz w:val="32"/>
          <w:szCs w:val="32"/>
          <w:lang w:val="en-US" w:eastAsia="zh-CN" w:bidi="ar"/>
        </w:rPr>
      </w:pPr>
      <w:r>
        <w:rPr>
          <w:rFonts w:hint="eastAsia" w:ascii="Times New Roman" w:hAnsi="Times New Roman" w:eastAsia="仿宋_GB2312" w:cs="Times New Roman"/>
          <w:b/>
          <w:bCs/>
          <w:color w:val="000000"/>
          <w:kern w:val="0"/>
          <w:sz w:val="32"/>
          <w:szCs w:val="32"/>
          <w:highlight w:val="none"/>
          <w:lang w:val="en-US" w:eastAsia="zh-CN" w:bidi="ar"/>
        </w:rPr>
        <w:t>2.集热场区，</w:t>
      </w:r>
      <w:r>
        <w:rPr>
          <w:rFonts w:hint="default" w:ascii="Times New Roman" w:hAnsi="Times New Roman" w:eastAsia="仿宋_GB2312" w:cs="Times New Roman"/>
          <w:b/>
          <w:bCs/>
          <w:color w:val="000000"/>
          <w:kern w:val="0"/>
          <w:sz w:val="32"/>
          <w:szCs w:val="32"/>
          <w:highlight w:val="none"/>
          <w:lang w:val="en-US" w:eastAsia="zh-CN" w:bidi="ar"/>
        </w:rPr>
        <w:t>工程措施</w:t>
      </w:r>
      <w:r>
        <w:rPr>
          <w:rFonts w:hint="default" w:ascii="Times New Roman" w:hAnsi="Times New Roman" w:eastAsia="仿宋_GB2312" w:cs="Times New Roman"/>
          <w:color w:val="000000"/>
          <w:kern w:val="0"/>
          <w:sz w:val="32"/>
          <w:szCs w:val="32"/>
          <w:highlight w:val="none"/>
          <w:lang w:val="en-US" w:eastAsia="zh-CN" w:bidi="ar"/>
        </w:rPr>
        <w:t>：土地平整403.41hm</w:t>
      </w:r>
      <w:r>
        <w:rPr>
          <w:rFonts w:hint="default" w:ascii="Times New Roman" w:hAnsi="Times New Roman" w:eastAsia="仿宋_GB2312" w:cs="Times New Roman"/>
          <w:color w:val="000000"/>
          <w:kern w:val="0"/>
          <w:sz w:val="32"/>
          <w:szCs w:val="32"/>
          <w:highlight w:val="none"/>
          <w:vertAlign w:val="superscript"/>
          <w:lang w:val="en-US" w:eastAsia="zh-CN" w:bidi="ar"/>
        </w:rPr>
        <w:t>2</w:t>
      </w:r>
      <w:r>
        <w:rPr>
          <w:rFonts w:hint="default" w:ascii="Times New Roman" w:hAnsi="Times New Roman" w:eastAsia="仿宋_GB2312" w:cs="Times New Roman"/>
          <w:color w:val="000000"/>
          <w:kern w:val="0"/>
          <w:sz w:val="32"/>
          <w:szCs w:val="32"/>
          <w:highlight w:val="none"/>
          <w:lang w:val="en-US" w:eastAsia="zh-CN" w:bidi="ar"/>
        </w:rPr>
        <w:t>，混凝土截排水沟3500m，土壤改良40.56hm</w:t>
      </w:r>
      <w:r>
        <w:rPr>
          <w:rFonts w:hint="default" w:ascii="Times New Roman" w:hAnsi="Times New Roman" w:eastAsia="仿宋_GB2312" w:cs="Times New Roman"/>
          <w:color w:val="000000"/>
          <w:kern w:val="0"/>
          <w:sz w:val="32"/>
          <w:szCs w:val="32"/>
          <w:highlight w:val="none"/>
          <w:vertAlign w:val="superscript"/>
          <w:lang w:val="en-US" w:eastAsia="zh-CN" w:bidi="ar"/>
        </w:rPr>
        <w:t>2</w:t>
      </w:r>
      <w:r>
        <w:rPr>
          <w:rFonts w:hint="default" w:ascii="Times New Roman" w:hAnsi="Times New Roman" w:eastAsia="仿宋_GB2312" w:cs="Times New Roman"/>
          <w:color w:val="000000"/>
          <w:kern w:val="0"/>
          <w:sz w:val="32"/>
          <w:szCs w:val="32"/>
          <w:highlight w:val="none"/>
          <w:lang w:val="en-US" w:eastAsia="zh-CN" w:bidi="ar"/>
        </w:rPr>
        <w:t>，低立式沙柳沙障40.56hm</w:t>
      </w:r>
      <w:r>
        <w:rPr>
          <w:rFonts w:hint="default" w:ascii="Times New Roman" w:hAnsi="Times New Roman" w:eastAsia="仿宋_GB2312" w:cs="Times New Roman"/>
          <w:color w:val="000000"/>
          <w:kern w:val="0"/>
          <w:sz w:val="32"/>
          <w:szCs w:val="32"/>
          <w:highlight w:val="none"/>
          <w:vertAlign w:val="superscript"/>
          <w:lang w:val="en-US" w:eastAsia="zh-CN" w:bidi="ar"/>
        </w:rPr>
        <w:t>2</w:t>
      </w:r>
      <w:r>
        <w:rPr>
          <w:rFonts w:hint="eastAsia" w:ascii="Times New Roman" w:hAnsi="Times New Roman" w:eastAsia="仿宋_GB2312" w:cs="Times New Roman"/>
          <w:color w:val="000000"/>
          <w:kern w:val="0"/>
          <w:sz w:val="32"/>
          <w:szCs w:val="32"/>
          <w:highlight w:val="none"/>
          <w:lang w:val="en-US" w:eastAsia="zh-CN" w:bidi="ar"/>
        </w:rPr>
        <w:t>。</w:t>
      </w:r>
      <w:r>
        <w:rPr>
          <w:rFonts w:hint="eastAsia" w:ascii="Times New Roman" w:hAnsi="Times New Roman" w:eastAsia="仿宋_GB2312" w:cs="Times New Roman"/>
          <w:b/>
          <w:bCs/>
          <w:color w:val="000000"/>
          <w:kern w:val="0"/>
          <w:sz w:val="32"/>
          <w:szCs w:val="32"/>
          <w:highlight w:val="none"/>
          <w:lang w:val="en-US" w:eastAsia="zh-CN" w:bidi="ar"/>
        </w:rPr>
        <w:t>植物措施：</w:t>
      </w:r>
      <w:r>
        <w:rPr>
          <w:rFonts w:hint="eastAsia" w:ascii="Times New Roman" w:hAnsi="Times New Roman" w:eastAsia="仿宋_GB2312" w:cs="Times New Roman"/>
          <w:color w:val="000000"/>
          <w:kern w:val="0"/>
          <w:sz w:val="32"/>
          <w:szCs w:val="32"/>
          <w:lang w:val="en-US" w:eastAsia="zh-CN" w:bidi="ar"/>
        </w:rPr>
        <w:t>栽植羊柴405600株，撒播沙蓬40.56hm</w:t>
      </w:r>
      <w:r>
        <w:rPr>
          <w:rFonts w:hint="eastAsia" w:ascii="Times New Roman" w:hAnsi="Times New Roman" w:eastAsia="仿宋_GB2312" w:cs="Times New Roman"/>
          <w:color w:val="000000"/>
          <w:kern w:val="0"/>
          <w:sz w:val="32"/>
          <w:szCs w:val="32"/>
          <w:vertAlign w:val="superscript"/>
          <w:lang w:val="en-US" w:eastAsia="zh-CN" w:bidi="ar"/>
        </w:rPr>
        <w:t>2</w:t>
      </w:r>
      <w:r>
        <w:rPr>
          <w:rFonts w:hint="eastAsia" w:ascii="Times New Roman" w:hAnsi="Times New Roman" w:eastAsia="仿宋_GB2312" w:cs="Times New Roman"/>
          <w:color w:val="000000"/>
          <w:kern w:val="0"/>
          <w:sz w:val="32"/>
          <w:szCs w:val="32"/>
          <w:lang w:val="en-US" w:eastAsia="zh-CN" w:bidi="ar"/>
        </w:rPr>
        <w:t>。</w:t>
      </w:r>
      <w:r>
        <w:rPr>
          <w:rFonts w:hint="eastAsia" w:ascii="Times New Roman" w:hAnsi="Times New Roman" w:eastAsia="仿宋_GB2312" w:cs="Times New Roman"/>
          <w:b/>
          <w:bCs/>
          <w:color w:val="000000"/>
          <w:kern w:val="0"/>
          <w:sz w:val="32"/>
          <w:szCs w:val="32"/>
          <w:highlight w:val="none"/>
          <w:lang w:val="en-US" w:eastAsia="zh-CN" w:bidi="ar"/>
        </w:rPr>
        <w:t>临时措施：</w:t>
      </w:r>
      <w:r>
        <w:rPr>
          <w:rFonts w:hint="eastAsia" w:ascii="Times New Roman" w:hAnsi="Times New Roman" w:eastAsia="仿宋_GB2312" w:cs="Times New Roman"/>
          <w:color w:val="000000"/>
          <w:kern w:val="0"/>
          <w:sz w:val="32"/>
          <w:szCs w:val="32"/>
          <w:lang w:val="en-US" w:eastAsia="zh-CN" w:bidi="ar"/>
        </w:rPr>
        <w:t>草帘苫盖20.00hm</w:t>
      </w:r>
      <w:r>
        <w:rPr>
          <w:rFonts w:hint="eastAsia" w:ascii="Times New Roman" w:hAnsi="Times New Roman" w:eastAsia="仿宋_GB2312" w:cs="Times New Roman"/>
          <w:color w:val="000000"/>
          <w:kern w:val="0"/>
          <w:sz w:val="32"/>
          <w:szCs w:val="32"/>
          <w:vertAlign w:val="superscript"/>
          <w:lang w:val="en-US" w:eastAsia="zh-CN" w:bidi="ar"/>
        </w:rPr>
        <w:t>2</w:t>
      </w:r>
      <w:r>
        <w:rPr>
          <w:rFonts w:hint="eastAsia" w:ascii="Times New Roman" w:hAnsi="Times New Roman" w:eastAsia="仿宋_GB2312" w:cs="Times New Roman"/>
          <w:color w:val="000000"/>
          <w:kern w:val="0"/>
          <w:sz w:val="32"/>
          <w:szCs w:val="32"/>
          <w:lang w:val="en-US" w:eastAsia="zh-CN" w:bidi="ar"/>
        </w:rPr>
        <w:t>。</w:t>
      </w:r>
    </w:p>
    <w:p w14:paraId="416AAB3C">
      <w:pPr>
        <w:keepNext w:val="0"/>
        <w:keepLines w:val="0"/>
        <w:pageBreakBefore w:val="0"/>
        <w:numPr>
          <w:ilvl w:val="0"/>
          <w:numId w:val="0"/>
        </w:numPr>
        <w:kinsoku/>
        <w:wordWrap/>
        <w:overflowPunct/>
        <w:topLinePunct w:val="0"/>
        <w:autoSpaceDE/>
        <w:autoSpaceDN/>
        <w:bidi w:val="0"/>
        <w:snapToGrid w:val="0"/>
        <w:spacing w:line="540" w:lineRule="exact"/>
        <w:ind w:firstLine="643" w:firstLineChars="200"/>
        <w:rPr>
          <w:rFonts w:hint="default" w:ascii="Times New Roman" w:hAnsi="Times New Roman" w:eastAsia="仿宋_GB2312" w:cs="Times New Roman"/>
          <w:color w:val="000000"/>
          <w:kern w:val="0"/>
          <w:sz w:val="32"/>
          <w:szCs w:val="32"/>
          <w:highlight w:val="none"/>
          <w:lang w:val="en-US" w:eastAsia="zh-CN" w:bidi="ar"/>
        </w:rPr>
      </w:pPr>
      <w:r>
        <w:rPr>
          <w:rFonts w:hint="eastAsia" w:ascii="Times New Roman" w:hAnsi="Times New Roman" w:eastAsia="仿宋_GB2312" w:cs="Times New Roman"/>
          <w:b/>
          <w:bCs/>
          <w:color w:val="000000"/>
          <w:kern w:val="0"/>
          <w:sz w:val="32"/>
          <w:szCs w:val="32"/>
          <w:highlight w:val="none"/>
          <w:lang w:val="en-US" w:eastAsia="zh-CN" w:bidi="ar"/>
        </w:rPr>
        <w:t>3.进厂道路，</w:t>
      </w:r>
      <w:r>
        <w:rPr>
          <w:rFonts w:hint="default" w:ascii="Times New Roman" w:hAnsi="Times New Roman" w:eastAsia="仿宋_GB2312" w:cs="Times New Roman"/>
          <w:b/>
          <w:bCs/>
          <w:color w:val="000000"/>
          <w:kern w:val="0"/>
          <w:sz w:val="32"/>
          <w:szCs w:val="32"/>
          <w:highlight w:val="none"/>
          <w:lang w:val="en-US" w:eastAsia="zh-CN" w:bidi="ar"/>
        </w:rPr>
        <w:t>工程措施</w:t>
      </w:r>
      <w:r>
        <w:rPr>
          <w:rFonts w:hint="default" w:ascii="Times New Roman" w:hAnsi="Times New Roman" w:eastAsia="仿宋_GB2312" w:cs="Times New Roman"/>
          <w:color w:val="000000"/>
          <w:kern w:val="0"/>
          <w:sz w:val="32"/>
          <w:szCs w:val="32"/>
          <w:highlight w:val="none"/>
          <w:lang w:val="en-US" w:eastAsia="zh-CN" w:bidi="ar"/>
        </w:rPr>
        <w:t>：混凝土截排水沟820m，土壤改良0.51hm</w:t>
      </w:r>
      <w:r>
        <w:rPr>
          <w:rFonts w:hint="default" w:ascii="Times New Roman" w:hAnsi="Times New Roman" w:eastAsia="仿宋_GB2312" w:cs="Times New Roman"/>
          <w:color w:val="000000"/>
          <w:kern w:val="0"/>
          <w:sz w:val="32"/>
          <w:szCs w:val="32"/>
          <w:highlight w:val="none"/>
          <w:vertAlign w:val="superscript"/>
          <w:lang w:val="en-US" w:eastAsia="zh-CN" w:bidi="ar"/>
        </w:rPr>
        <w:t>2</w:t>
      </w:r>
      <w:r>
        <w:rPr>
          <w:rFonts w:hint="default" w:ascii="Times New Roman" w:hAnsi="Times New Roman" w:eastAsia="仿宋_GB2312" w:cs="Times New Roman"/>
          <w:color w:val="000000"/>
          <w:kern w:val="0"/>
          <w:sz w:val="32"/>
          <w:szCs w:val="32"/>
          <w:highlight w:val="none"/>
          <w:lang w:val="en-US" w:eastAsia="zh-CN" w:bidi="ar"/>
        </w:rPr>
        <w:t>，低立式沙柳沙障0.51hm</w:t>
      </w:r>
      <w:r>
        <w:rPr>
          <w:rFonts w:hint="default" w:ascii="Times New Roman" w:hAnsi="Times New Roman" w:eastAsia="仿宋_GB2312" w:cs="Times New Roman"/>
          <w:color w:val="000000"/>
          <w:kern w:val="0"/>
          <w:sz w:val="32"/>
          <w:szCs w:val="32"/>
          <w:highlight w:val="none"/>
          <w:vertAlign w:val="superscript"/>
          <w:lang w:val="en-US" w:eastAsia="zh-CN" w:bidi="ar"/>
        </w:rPr>
        <w:t>2</w:t>
      </w:r>
      <w:r>
        <w:rPr>
          <w:rFonts w:hint="eastAsia" w:ascii="Times New Roman" w:hAnsi="Times New Roman" w:eastAsia="仿宋_GB2312" w:cs="Times New Roman"/>
          <w:color w:val="000000"/>
          <w:kern w:val="0"/>
          <w:sz w:val="32"/>
          <w:szCs w:val="32"/>
          <w:highlight w:val="none"/>
          <w:lang w:val="en-US" w:eastAsia="zh-CN" w:bidi="ar"/>
        </w:rPr>
        <w:t>。</w:t>
      </w:r>
      <w:r>
        <w:rPr>
          <w:rFonts w:hint="eastAsia" w:ascii="Times New Roman" w:hAnsi="Times New Roman" w:eastAsia="仿宋_GB2312" w:cs="Times New Roman"/>
          <w:b/>
          <w:bCs/>
          <w:color w:val="000000"/>
          <w:kern w:val="0"/>
          <w:sz w:val="32"/>
          <w:szCs w:val="32"/>
          <w:highlight w:val="none"/>
          <w:lang w:val="en-US" w:eastAsia="zh-CN" w:bidi="ar"/>
        </w:rPr>
        <w:t>植物措施：</w:t>
      </w:r>
      <w:r>
        <w:rPr>
          <w:rFonts w:hint="default" w:ascii="Times New Roman" w:hAnsi="Times New Roman" w:eastAsia="仿宋_GB2312" w:cs="Times New Roman"/>
          <w:color w:val="000000"/>
          <w:kern w:val="0"/>
          <w:sz w:val="32"/>
          <w:szCs w:val="32"/>
          <w:highlight w:val="none"/>
          <w:lang w:val="en-US" w:eastAsia="zh-CN" w:bidi="ar"/>
        </w:rPr>
        <w:t>栽植羊柴5100株，撒播沙蓬0.51hm</w:t>
      </w:r>
      <w:r>
        <w:rPr>
          <w:rFonts w:hint="default" w:ascii="Times New Roman" w:hAnsi="Times New Roman" w:eastAsia="仿宋_GB2312" w:cs="Times New Roman"/>
          <w:color w:val="000000"/>
          <w:kern w:val="0"/>
          <w:sz w:val="32"/>
          <w:szCs w:val="32"/>
          <w:highlight w:val="none"/>
          <w:vertAlign w:val="superscript"/>
          <w:lang w:val="en-US" w:eastAsia="zh-CN" w:bidi="ar"/>
        </w:rPr>
        <w:t>2</w:t>
      </w:r>
      <w:r>
        <w:rPr>
          <w:rFonts w:hint="eastAsia" w:ascii="Times New Roman" w:hAnsi="Times New Roman" w:eastAsia="仿宋_GB2312" w:cs="Times New Roman"/>
          <w:color w:val="000000"/>
          <w:kern w:val="0"/>
          <w:sz w:val="32"/>
          <w:szCs w:val="32"/>
          <w:highlight w:val="none"/>
          <w:lang w:val="en-US" w:eastAsia="zh-CN" w:bidi="ar"/>
        </w:rPr>
        <w:t>。</w:t>
      </w:r>
    </w:p>
    <w:p w14:paraId="0D627338">
      <w:pPr>
        <w:keepNext w:val="0"/>
        <w:keepLines w:val="0"/>
        <w:pageBreakBefore w:val="0"/>
        <w:numPr>
          <w:ilvl w:val="0"/>
          <w:numId w:val="0"/>
        </w:numPr>
        <w:kinsoku/>
        <w:wordWrap/>
        <w:overflowPunct/>
        <w:topLinePunct w:val="0"/>
        <w:autoSpaceDE/>
        <w:autoSpaceDN/>
        <w:bidi w:val="0"/>
        <w:snapToGrid w:val="0"/>
        <w:spacing w:line="540" w:lineRule="exact"/>
        <w:ind w:firstLine="643" w:firstLineChars="200"/>
        <w:rPr>
          <w:rFonts w:hint="eastAsia" w:ascii="Times New Roman" w:hAnsi="Times New Roman" w:eastAsia="仿宋_GB2312" w:cs="Times New Roman"/>
          <w:color w:val="000000"/>
          <w:kern w:val="0"/>
          <w:sz w:val="32"/>
          <w:szCs w:val="32"/>
          <w:lang w:val="en-US" w:eastAsia="zh-CN" w:bidi="ar"/>
        </w:rPr>
      </w:pPr>
      <w:r>
        <w:rPr>
          <w:rFonts w:hint="eastAsia" w:ascii="Times New Roman" w:hAnsi="Times New Roman" w:eastAsia="仿宋_GB2312" w:cs="Times New Roman"/>
          <w:b/>
          <w:bCs/>
          <w:color w:val="000000"/>
          <w:kern w:val="0"/>
          <w:sz w:val="32"/>
          <w:szCs w:val="32"/>
          <w:highlight w:val="none"/>
          <w:lang w:val="en-US" w:eastAsia="zh-CN" w:bidi="ar"/>
        </w:rPr>
        <w:t>4.施工生产生活区，</w:t>
      </w:r>
      <w:r>
        <w:rPr>
          <w:rFonts w:hint="default" w:ascii="Times New Roman" w:hAnsi="Times New Roman" w:eastAsia="仿宋_GB2312" w:cs="Times New Roman"/>
          <w:b/>
          <w:bCs/>
          <w:color w:val="000000"/>
          <w:kern w:val="0"/>
          <w:sz w:val="32"/>
          <w:szCs w:val="32"/>
          <w:highlight w:val="none"/>
          <w:lang w:val="en-US" w:eastAsia="zh-CN" w:bidi="ar"/>
        </w:rPr>
        <w:t>工程措施</w:t>
      </w:r>
      <w:r>
        <w:rPr>
          <w:rFonts w:hint="default" w:ascii="Times New Roman" w:hAnsi="Times New Roman" w:eastAsia="仿宋_GB2312" w:cs="Times New Roman"/>
          <w:color w:val="000000"/>
          <w:kern w:val="0"/>
          <w:sz w:val="32"/>
          <w:szCs w:val="32"/>
          <w:highlight w:val="none"/>
          <w:lang w:val="en-US" w:eastAsia="zh-CN" w:bidi="ar"/>
        </w:rPr>
        <w:t>：土地平整10.00hm</w:t>
      </w:r>
      <w:r>
        <w:rPr>
          <w:rFonts w:hint="default" w:ascii="Times New Roman" w:hAnsi="Times New Roman" w:eastAsia="仿宋_GB2312" w:cs="Times New Roman"/>
          <w:color w:val="000000"/>
          <w:kern w:val="0"/>
          <w:sz w:val="32"/>
          <w:szCs w:val="32"/>
          <w:highlight w:val="none"/>
          <w:vertAlign w:val="superscript"/>
          <w:lang w:val="en-US" w:eastAsia="zh-CN" w:bidi="ar"/>
        </w:rPr>
        <w:t>2</w:t>
      </w:r>
      <w:r>
        <w:rPr>
          <w:rFonts w:hint="default" w:ascii="Times New Roman" w:hAnsi="Times New Roman" w:eastAsia="仿宋_GB2312" w:cs="Times New Roman"/>
          <w:color w:val="000000"/>
          <w:kern w:val="0"/>
          <w:sz w:val="32"/>
          <w:szCs w:val="32"/>
          <w:highlight w:val="none"/>
          <w:lang w:val="en-US" w:eastAsia="zh-CN" w:bidi="ar"/>
        </w:rPr>
        <w:t>，土壤改良0.60hm</w:t>
      </w:r>
      <w:r>
        <w:rPr>
          <w:rFonts w:hint="default" w:ascii="Times New Roman" w:hAnsi="Times New Roman" w:eastAsia="仿宋_GB2312" w:cs="Times New Roman"/>
          <w:color w:val="000000"/>
          <w:kern w:val="0"/>
          <w:sz w:val="32"/>
          <w:szCs w:val="32"/>
          <w:highlight w:val="none"/>
          <w:vertAlign w:val="superscript"/>
          <w:lang w:val="en-US" w:eastAsia="zh-CN" w:bidi="ar"/>
        </w:rPr>
        <w:t>2</w:t>
      </w:r>
      <w:r>
        <w:rPr>
          <w:rFonts w:hint="default" w:ascii="Times New Roman" w:hAnsi="Times New Roman" w:eastAsia="仿宋_GB2312" w:cs="Times New Roman"/>
          <w:color w:val="000000"/>
          <w:kern w:val="0"/>
          <w:sz w:val="32"/>
          <w:szCs w:val="32"/>
          <w:highlight w:val="none"/>
          <w:lang w:val="en-US" w:eastAsia="zh-CN" w:bidi="ar"/>
        </w:rPr>
        <w:t>，低立式沙柳沙障10.00hm</w:t>
      </w:r>
      <w:r>
        <w:rPr>
          <w:rFonts w:hint="default" w:ascii="Times New Roman" w:hAnsi="Times New Roman" w:eastAsia="仿宋_GB2312" w:cs="Times New Roman"/>
          <w:color w:val="000000"/>
          <w:kern w:val="0"/>
          <w:sz w:val="32"/>
          <w:szCs w:val="32"/>
          <w:highlight w:val="none"/>
          <w:vertAlign w:val="superscript"/>
          <w:lang w:val="en-US" w:eastAsia="zh-CN" w:bidi="ar"/>
        </w:rPr>
        <w:t>2</w:t>
      </w:r>
      <w:r>
        <w:rPr>
          <w:rFonts w:hint="eastAsia" w:ascii="Times New Roman" w:hAnsi="Times New Roman" w:eastAsia="仿宋_GB2312" w:cs="Times New Roman"/>
          <w:color w:val="000000"/>
          <w:kern w:val="0"/>
          <w:sz w:val="32"/>
          <w:szCs w:val="32"/>
          <w:highlight w:val="none"/>
          <w:lang w:val="en-US" w:eastAsia="zh-CN" w:bidi="ar"/>
        </w:rPr>
        <w:t>。</w:t>
      </w:r>
      <w:r>
        <w:rPr>
          <w:rFonts w:hint="eastAsia" w:ascii="Times New Roman" w:hAnsi="Times New Roman" w:eastAsia="仿宋_GB2312" w:cs="Times New Roman"/>
          <w:b/>
          <w:bCs/>
          <w:color w:val="000000"/>
          <w:kern w:val="0"/>
          <w:sz w:val="32"/>
          <w:szCs w:val="32"/>
          <w:highlight w:val="none"/>
          <w:lang w:val="en-US" w:eastAsia="zh-CN" w:bidi="ar"/>
        </w:rPr>
        <w:t>植物措施：</w:t>
      </w:r>
      <w:r>
        <w:rPr>
          <w:rFonts w:hint="default" w:ascii="Times New Roman" w:hAnsi="Times New Roman" w:eastAsia="仿宋_GB2312" w:cs="Times New Roman"/>
          <w:color w:val="000000"/>
          <w:kern w:val="0"/>
          <w:sz w:val="32"/>
          <w:szCs w:val="32"/>
          <w:highlight w:val="none"/>
          <w:lang w:val="en-US" w:eastAsia="zh-CN" w:bidi="ar"/>
        </w:rPr>
        <w:t>栽植羊柴6000株，撒播沙蓬0.60hm</w:t>
      </w:r>
      <w:r>
        <w:rPr>
          <w:rFonts w:hint="default" w:ascii="Times New Roman" w:hAnsi="Times New Roman" w:eastAsia="仿宋_GB2312" w:cs="Times New Roman"/>
          <w:color w:val="000000"/>
          <w:kern w:val="0"/>
          <w:sz w:val="32"/>
          <w:szCs w:val="32"/>
          <w:highlight w:val="none"/>
          <w:vertAlign w:val="superscript"/>
          <w:lang w:val="en-US" w:eastAsia="zh-CN" w:bidi="ar"/>
        </w:rPr>
        <w:t>2</w:t>
      </w:r>
      <w:r>
        <w:rPr>
          <w:rFonts w:hint="eastAsia" w:ascii="Times New Roman" w:hAnsi="Times New Roman" w:eastAsia="仿宋_GB2312" w:cs="Times New Roman"/>
          <w:color w:val="000000"/>
          <w:kern w:val="0"/>
          <w:sz w:val="32"/>
          <w:szCs w:val="32"/>
          <w:lang w:val="en-US" w:eastAsia="zh-CN" w:bidi="ar"/>
        </w:rPr>
        <w:t>。</w:t>
      </w:r>
      <w:r>
        <w:rPr>
          <w:rFonts w:hint="eastAsia" w:ascii="Times New Roman" w:hAnsi="Times New Roman" w:eastAsia="仿宋_GB2312" w:cs="Times New Roman"/>
          <w:b/>
          <w:bCs/>
          <w:color w:val="000000"/>
          <w:kern w:val="0"/>
          <w:sz w:val="32"/>
          <w:szCs w:val="32"/>
          <w:highlight w:val="none"/>
          <w:lang w:val="en-US" w:eastAsia="zh-CN" w:bidi="ar"/>
        </w:rPr>
        <w:t>临时措施：</w:t>
      </w:r>
      <w:r>
        <w:rPr>
          <w:rFonts w:hint="eastAsia" w:ascii="Times New Roman" w:hAnsi="Times New Roman" w:eastAsia="仿宋_GB2312" w:cs="Times New Roman"/>
          <w:color w:val="000000"/>
          <w:kern w:val="0"/>
          <w:sz w:val="32"/>
          <w:szCs w:val="32"/>
          <w:lang w:val="en-US" w:eastAsia="zh-CN" w:bidi="ar"/>
        </w:rPr>
        <w:t>土质排水沟1500m，沉沙池2座，草帘苫盖1.50hm</w:t>
      </w:r>
      <w:r>
        <w:rPr>
          <w:rFonts w:hint="eastAsia" w:ascii="Times New Roman" w:hAnsi="Times New Roman" w:eastAsia="仿宋_GB2312" w:cs="Times New Roman"/>
          <w:color w:val="000000"/>
          <w:kern w:val="0"/>
          <w:sz w:val="32"/>
          <w:szCs w:val="32"/>
          <w:vertAlign w:val="superscript"/>
          <w:lang w:val="en-US" w:eastAsia="zh-CN" w:bidi="ar"/>
        </w:rPr>
        <w:t>2</w:t>
      </w:r>
      <w:r>
        <w:rPr>
          <w:rFonts w:hint="eastAsia" w:ascii="Times New Roman" w:hAnsi="Times New Roman" w:eastAsia="仿宋_GB2312" w:cs="Times New Roman"/>
          <w:color w:val="000000"/>
          <w:kern w:val="0"/>
          <w:sz w:val="32"/>
          <w:szCs w:val="32"/>
          <w:lang w:val="en-US" w:eastAsia="zh-CN" w:bidi="ar"/>
        </w:rPr>
        <w:t>。</w:t>
      </w:r>
    </w:p>
    <w:p w14:paraId="437365A8">
      <w:pPr>
        <w:keepNext w:val="0"/>
        <w:keepLines w:val="0"/>
        <w:pageBreakBefore w:val="0"/>
        <w:numPr>
          <w:ilvl w:val="0"/>
          <w:numId w:val="0"/>
        </w:numPr>
        <w:kinsoku/>
        <w:wordWrap/>
        <w:overflowPunct/>
        <w:topLinePunct w:val="0"/>
        <w:autoSpaceDE/>
        <w:autoSpaceDN/>
        <w:bidi w:val="0"/>
        <w:snapToGrid w:val="0"/>
        <w:spacing w:line="540" w:lineRule="exact"/>
        <w:ind w:firstLine="643" w:firstLineChars="200"/>
        <w:rPr>
          <w:rFonts w:hint="default" w:ascii="Times New Roman" w:hAnsi="Times New Roman" w:eastAsia="仿宋_GB2312" w:cs="Times New Roman"/>
          <w:color w:val="000000"/>
          <w:kern w:val="0"/>
          <w:sz w:val="32"/>
          <w:szCs w:val="32"/>
          <w:highlight w:val="none"/>
          <w:lang w:val="en-US" w:eastAsia="zh-CN" w:bidi="ar"/>
        </w:rPr>
      </w:pPr>
      <w:r>
        <w:rPr>
          <w:rFonts w:hint="eastAsia" w:ascii="Times New Roman" w:hAnsi="Times New Roman" w:eastAsia="仿宋_GB2312" w:cs="Times New Roman"/>
          <w:b/>
          <w:bCs/>
          <w:color w:val="000000"/>
          <w:kern w:val="0"/>
          <w:sz w:val="32"/>
          <w:szCs w:val="32"/>
          <w:highlight w:val="none"/>
          <w:lang w:val="en-US" w:eastAsia="zh-CN" w:bidi="ar"/>
        </w:rPr>
        <w:t>5.征占地外风沙防护区，</w:t>
      </w:r>
      <w:r>
        <w:rPr>
          <w:rFonts w:hint="default" w:ascii="Times New Roman" w:hAnsi="Times New Roman" w:eastAsia="仿宋_GB2312" w:cs="Times New Roman"/>
          <w:b/>
          <w:bCs/>
          <w:color w:val="000000"/>
          <w:kern w:val="0"/>
          <w:sz w:val="32"/>
          <w:szCs w:val="32"/>
          <w:highlight w:val="none"/>
          <w:lang w:val="en-US" w:eastAsia="zh-CN" w:bidi="ar"/>
        </w:rPr>
        <w:t>工程措施</w:t>
      </w:r>
      <w:r>
        <w:rPr>
          <w:rFonts w:hint="default" w:ascii="Times New Roman" w:hAnsi="Times New Roman" w:eastAsia="仿宋_GB2312" w:cs="Times New Roman"/>
          <w:color w:val="000000"/>
          <w:kern w:val="0"/>
          <w:sz w:val="32"/>
          <w:szCs w:val="32"/>
          <w:highlight w:val="none"/>
          <w:lang w:val="en-US" w:eastAsia="zh-CN" w:bidi="ar"/>
        </w:rPr>
        <w:t>：低立式沙柳沙障30.88hm</w:t>
      </w:r>
      <w:r>
        <w:rPr>
          <w:rFonts w:hint="default" w:ascii="Times New Roman" w:hAnsi="Times New Roman" w:eastAsia="仿宋_GB2312" w:cs="Times New Roman"/>
          <w:color w:val="000000"/>
          <w:kern w:val="0"/>
          <w:sz w:val="32"/>
          <w:szCs w:val="32"/>
          <w:highlight w:val="none"/>
          <w:vertAlign w:val="superscript"/>
          <w:lang w:val="en-US" w:eastAsia="zh-CN" w:bidi="ar"/>
        </w:rPr>
        <w:t>2</w:t>
      </w:r>
      <w:r>
        <w:rPr>
          <w:rFonts w:hint="eastAsia" w:ascii="Times New Roman" w:hAnsi="Times New Roman" w:eastAsia="仿宋_GB2312" w:cs="Times New Roman"/>
          <w:color w:val="000000"/>
          <w:kern w:val="0"/>
          <w:sz w:val="32"/>
          <w:szCs w:val="32"/>
          <w:highlight w:val="none"/>
          <w:lang w:val="en-US" w:eastAsia="zh-CN" w:bidi="ar"/>
        </w:rPr>
        <w:t>。</w:t>
      </w:r>
    </w:p>
    <w:p w14:paraId="13E42A4E">
      <w:pPr>
        <w:keepNext w:val="0"/>
        <w:keepLines w:val="0"/>
        <w:pageBreakBefore w:val="0"/>
        <w:numPr>
          <w:ilvl w:val="0"/>
          <w:numId w:val="0"/>
        </w:numPr>
        <w:kinsoku/>
        <w:wordWrap/>
        <w:overflowPunct/>
        <w:topLinePunct w:val="0"/>
        <w:autoSpaceDE/>
        <w:autoSpaceDN/>
        <w:bidi w:val="0"/>
        <w:snapToGrid w:val="0"/>
        <w:spacing w:line="540" w:lineRule="exact"/>
        <w:ind w:firstLine="640" w:firstLineChars="200"/>
        <w:rPr>
          <w:rFonts w:hint="default" w:ascii="Times New Roman" w:hAnsi="Times New Roman" w:eastAsia="仿宋" w:cs="Times New Roman"/>
          <w:b/>
          <w:bCs/>
          <w:sz w:val="32"/>
          <w:szCs w:val="32"/>
          <w:lang w:eastAsia="zh-CN"/>
        </w:rPr>
      </w:pPr>
      <w:r>
        <w:rPr>
          <w:rFonts w:hint="eastAsia" w:ascii="黑体" w:hAnsi="黑体" w:eastAsia="黑体" w:cs="黑体"/>
          <w:b w:val="0"/>
          <w:bCs w:val="0"/>
          <w:sz w:val="32"/>
          <w:szCs w:val="32"/>
          <w:lang w:eastAsia="zh-CN"/>
        </w:rPr>
        <w:t>六、水土保持投资</w:t>
      </w:r>
    </w:p>
    <w:p w14:paraId="1206F45F">
      <w:pPr>
        <w:keepNext w:val="0"/>
        <w:keepLines w:val="0"/>
        <w:pageBreakBefore w:val="0"/>
        <w:kinsoku/>
        <w:wordWrap/>
        <w:overflowPunct/>
        <w:topLinePunct w:val="0"/>
        <w:autoSpaceDE/>
        <w:autoSpaceDN/>
        <w:bidi w:val="0"/>
        <w:spacing w:line="540" w:lineRule="exact"/>
        <w:ind w:firstLine="640" w:firstLineChars="200"/>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基本同意水土保持投资估算编制原则、依据及方法。基本同意水土保持估算总投资2307.42万元，其中工程措施投资690.18万元，植物措施投资235.17万元，监测措施投资108.59万元，施工临时工程投资118.65万元，独立费用145.34万元（含工程建设监理费40.34万元），基本预备费129.79万元，水土保持补偿费879.699万元。</w:t>
      </w:r>
    </w:p>
    <w:p w14:paraId="7D5BB9F0">
      <w:pPr>
        <w:keepNext w:val="0"/>
        <w:keepLines w:val="0"/>
        <w:pageBreakBefore w:val="0"/>
        <w:kinsoku/>
        <w:wordWrap/>
        <w:overflowPunct/>
        <w:topLinePunct w:val="0"/>
        <w:autoSpaceDE/>
        <w:autoSpaceDN/>
        <w:bidi w:val="0"/>
        <w:spacing w:line="54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七、建设单位在工程建设中应重点做好以下工作</w:t>
      </w:r>
    </w:p>
    <w:p w14:paraId="77E820B6">
      <w:pPr>
        <w:keepNext w:val="0"/>
        <w:keepLines w:val="0"/>
        <w:pageBreakBefore w:val="0"/>
        <w:widowControl/>
        <w:suppressLineNumbers w:val="0"/>
        <w:kinsoku/>
        <w:wordWrap/>
        <w:overflowPunct/>
        <w:topLinePunct w:val="0"/>
        <w:autoSpaceDE/>
        <w:autoSpaceDN/>
        <w:bidi w:val="0"/>
        <w:adjustRightInd/>
        <w:snapToGrid/>
        <w:spacing w:line="540" w:lineRule="exact"/>
        <w:ind w:firstLine="620" w:firstLineChars="200"/>
        <w:jc w:val="left"/>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 w:cs="Times New Roman"/>
          <w:color w:val="000000"/>
          <w:kern w:val="0"/>
          <w:sz w:val="31"/>
          <w:szCs w:val="31"/>
          <w:lang w:val="en-US" w:eastAsia="zh-CN" w:bidi="ar"/>
        </w:rPr>
        <w:t>（</w:t>
      </w:r>
      <w:r>
        <w:rPr>
          <w:rFonts w:hint="default" w:ascii="Times New Roman" w:hAnsi="Times New Roman" w:eastAsia="仿宋_GB2312" w:cs="Times New Roman"/>
          <w:color w:val="000000"/>
          <w:kern w:val="0"/>
          <w:sz w:val="32"/>
          <w:szCs w:val="32"/>
          <w:lang w:val="en-US" w:eastAsia="zh-CN" w:bidi="ar"/>
        </w:rPr>
        <w:t>一）生产建设单位在项目建设中应全面落实《中华人民共和国水土保持法》的各项要求，按照批准的水土保持方案， 做好水土保持措施后续设计，加强施工组织管理工作，切实落实水土保持“三同时”制度。严格按方案要求落实各项水土保持措施，在各项水土保持措施完成后，及时组织水土保持方案专项自主验收，并按水利部相关文件要求到我局报备。</w:t>
      </w:r>
    </w:p>
    <w:p w14:paraId="220DBDE1">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（二）本工程建设中各类施工活动严格限定在用地范围内，</w:t>
      </w:r>
    </w:p>
    <w:p w14:paraId="1DB4450B">
      <w:pPr>
        <w:keepNext w:val="0"/>
        <w:keepLines w:val="0"/>
        <w:pageBreakBefore w:val="0"/>
        <w:widowControl/>
        <w:suppressLineNumbers w:val="0"/>
        <w:kinsoku/>
        <w:wordWrap/>
        <w:overflowPunct/>
        <w:topLinePunct w:val="0"/>
        <w:autoSpaceDE/>
        <w:autoSpaceDN/>
        <w:bidi w:val="0"/>
        <w:adjustRightInd/>
        <w:snapToGrid/>
        <w:spacing w:line="540" w:lineRule="exact"/>
        <w:jc w:val="left"/>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禁止随意占压、扰动和破坏地表。</w:t>
      </w:r>
    </w:p>
    <w:p w14:paraId="54A32005">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三）建设单位作为安全运行责任主体，对主体工程和水土保持方案设计的各项水土保持措施的安全运行全权负责，在建设、运行及后期管理期间要适时巡查监测，及时消除隐患，确保各项工程及防护措施安全运行，发挥正常效益。</w:t>
      </w:r>
    </w:p>
    <w:p w14:paraId="52768C2C">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（四）按相关要求及时开展水土保持监测工作，并向旗（区）水行政主管部门提交监测季度报告及总结报告。</w:t>
      </w:r>
    </w:p>
    <w:p w14:paraId="54B748F9">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（五）落实并做好水土保持监理工作，确保水土保持工程建设质量。</w:t>
      </w:r>
    </w:p>
    <w:p w14:paraId="3D0D9118">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（六）依法依规足额缴纳水土保持补偿费</w:t>
      </w:r>
      <w:r>
        <w:rPr>
          <w:rFonts w:hint="eastAsia" w:ascii="Times New Roman" w:hAnsi="Times New Roman" w:eastAsia="仿宋_GB2312" w:cs="Times New Roman"/>
          <w:color w:val="000000"/>
          <w:kern w:val="0"/>
          <w:sz w:val="32"/>
          <w:szCs w:val="32"/>
          <w:lang w:val="en-US" w:eastAsia="zh-CN" w:bidi="ar"/>
        </w:rPr>
        <w:t>。</w:t>
      </w:r>
    </w:p>
    <w:p w14:paraId="2A3041E1">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七）本项目的规模如发生重大变化，或者水土保持方案实施过程中水土保持措施发生重大变更，应补充或者修改水土保持方案，报我局审批。在生产过程中如需新设弃渣场，应在弃渣前编制水土保持方案，报我局审批。</w:t>
      </w:r>
    </w:p>
    <w:p w14:paraId="29920955">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（八）水土保持方案自批准之日起满 3 年，生产建设项目方开工建设的，其水土保持方案应当报原审批部门重新审核。</w:t>
      </w:r>
    </w:p>
    <w:p w14:paraId="2520EE99">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九）生产建设单位要按照《水利部关于加强事中事后监管规范生产建设项目水土保持设施自主验收的通知》（水保〔2017〕365号）文件要求，严格执行水土保持设施验收标准和条件，在水土保持设施验收合格后，向社会公开并向我局报备。</w:t>
      </w:r>
    </w:p>
    <w:p w14:paraId="63B4CFB6">
      <w:pPr>
        <w:pStyle w:val="17"/>
        <w:rPr>
          <w:rFonts w:hint="default" w:ascii="Times New Roman" w:hAnsi="Times New Roman" w:eastAsia="仿宋_GB2312" w:cs="Times New Roman"/>
          <w:color w:val="000000"/>
          <w:kern w:val="0"/>
          <w:sz w:val="32"/>
          <w:szCs w:val="32"/>
          <w:lang w:val="en-US" w:eastAsia="zh-CN" w:bidi="ar"/>
        </w:rPr>
      </w:pPr>
    </w:p>
    <w:p w14:paraId="411D9048">
      <w:pPr>
        <w:rPr>
          <w:rFonts w:hint="default"/>
          <w:lang w:val="en-US" w:eastAsia="zh-CN"/>
        </w:rPr>
      </w:pPr>
    </w:p>
    <w:p w14:paraId="1A67C326">
      <w:pPr>
        <w:keepNext w:val="0"/>
        <w:keepLines w:val="0"/>
        <w:widowControl/>
        <w:suppressLineNumbers w:val="0"/>
        <w:ind w:firstLine="4960" w:firstLineChars="1600"/>
        <w:jc w:val="left"/>
        <w:rPr>
          <w:rFonts w:hint="default" w:ascii="Times New Roman" w:hAnsi="Times New Roman" w:eastAsia="仿宋" w:cs="Times New Roman"/>
          <w:color w:val="000000"/>
          <w:kern w:val="0"/>
          <w:sz w:val="31"/>
          <w:szCs w:val="31"/>
          <w:lang w:val="en-US" w:eastAsia="zh-CN" w:bidi="ar"/>
        </w:rPr>
      </w:pPr>
      <w:r>
        <w:rPr>
          <w:rFonts w:hint="default" w:ascii="Times New Roman" w:hAnsi="Times New Roman" w:eastAsia="仿宋" w:cs="Times New Roman"/>
          <w:color w:val="000000"/>
          <w:kern w:val="0"/>
          <w:sz w:val="31"/>
          <w:szCs w:val="31"/>
          <w:lang w:val="en-US" w:eastAsia="zh-CN" w:bidi="ar"/>
        </w:rPr>
        <w:t>达拉特旗水利局</w:t>
      </w:r>
    </w:p>
    <w:p w14:paraId="28307827">
      <w:pPr>
        <w:keepNext w:val="0"/>
        <w:keepLines w:val="0"/>
        <w:widowControl/>
        <w:suppressLineNumbers w:val="0"/>
        <w:ind w:firstLine="4960" w:firstLineChars="1600"/>
        <w:jc w:val="left"/>
        <w:rPr>
          <w:rFonts w:hint="default" w:ascii="Times New Roman" w:hAnsi="Times New Roman" w:eastAsia="仿宋" w:cs="Times New Roman"/>
          <w:color w:val="000000"/>
          <w:kern w:val="0"/>
          <w:sz w:val="31"/>
          <w:szCs w:val="31"/>
          <w:lang w:val="en-US" w:eastAsia="zh-CN" w:bidi="ar"/>
        </w:rPr>
      </w:pPr>
      <w:bookmarkStart w:id="1" w:name="_GoBack"/>
      <w:bookmarkEnd w:id="1"/>
      <w:r>
        <w:rPr>
          <w:rFonts w:hint="default" w:ascii="Times New Roman" w:hAnsi="Times New Roman" w:eastAsia="仿宋" w:cs="Times New Roman"/>
          <w:color w:val="000000"/>
          <w:kern w:val="0"/>
          <w:sz w:val="31"/>
          <w:szCs w:val="31"/>
          <w:lang w:val="en-US" w:eastAsia="zh-CN" w:bidi="ar"/>
        </w:rPr>
        <w:t>202</w:t>
      </w:r>
      <w:r>
        <w:rPr>
          <w:rFonts w:hint="eastAsia" w:ascii="Times New Roman" w:hAnsi="Times New Roman" w:eastAsia="仿宋" w:cs="Times New Roman"/>
          <w:color w:val="000000"/>
          <w:kern w:val="0"/>
          <w:sz w:val="31"/>
          <w:szCs w:val="31"/>
          <w:lang w:val="en-US" w:eastAsia="zh-CN" w:bidi="ar"/>
        </w:rPr>
        <w:t>6</w:t>
      </w:r>
      <w:r>
        <w:rPr>
          <w:rFonts w:hint="default" w:ascii="Times New Roman" w:hAnsi="Times New Roman" w:eastAsia="仿宋" w:cs="Times New Roman"/>
          <w:color w:val="000000"/>
          <w:kern w:val="0"/>
          <w:sz w:val="31"/>
          <w:szCs w:val="31"/>
          <w:lang w:val="en-US" w:eastAsia="zh-CN" w:bidi="ar"/>
        </w:rPr>
        <w:t>年</w:t>
      </w:r>
      <w:r>
        <w:rPr>
          <w:rFonts w:hint="eastAsia" w:ascii="Times New Roman" w:hAnsi="Times New Roman" w:eastAsia="仿宋" w:cs="Times New Roman"/>
          <w:color w:val="000000"/>
          <w:kern w:val="0"/>
          <w:sz w:val="31"/>
          <w:szCs w:val="31"/>
          <w:lang w:val="en-US" w:eastAsia="zh-CN" w:bidi="ar"/>
        </w:rPr>
        <w:t>7</w:t>
      </w:r>
      <w:r>
        <w:rPr>
          <w:rFonts w:hint="default" w:ascii="Times New Roman" w:hAnsi="Times New Roman" w:eastAsia="仿宋" w:cs="Times New Roman"/>
          <w:color w:val="000000"/>
          <w:kern w:val="0"/>
          <w:sz w:val="31"/>
          <w:szCs w:val="31"/>
          <w:lang w:val="en-US" w:eastAsia="zh-CN" w:bidi="ar"/>
        </w:rPr>
        <w:t>月</w:t>
      </w:r>
      <w:r>
        <w:rPr>
          <w:rFonts w:hint="eastAsia" w:ascii="Times New Roman" w:hAnsi="Times New Roman" w:eastAsia="仿宋" w:cs="Times New Roman"/>
          <w:color w:val="000000"/>
          <w:kern w:val="0"/>
          <w:sz w:val="31"/>
          <w:szCs w:val="31"/>
          <w:lang w:val="en-US" w:eastAsia="zh-CN" w:bidi="ar"/>
        </w:rPr>
        <w:t>30</w:t>
      </w:r>
      <w:r>
        <w:rPr>
          <w:rFonts w:hint="default" w:ascii="Times New Roman" w:hAnsi="Times New Roman" w:eastAsia="仿宋" w:cs="Times New Roman"/>
          <w:color w:val="000000"/>
          <w:kern w:val="0"/>
          <w:sz w:val="31"/>
          <w:szCs w:val="31"/>
          <w:lang w:val="en-US" w:eastAsia="zh-CN" w:bidi="ar"/>
        </w:rPr>
        <w:t xml:space="preserve">日    </w:t>
      </w:r>
    </w:p>
    <w:p w14:paraId="3F77B976">
      <w:pPr>
        <w:pStyle w:val="17"/>
        <w:rPr>
          <w:rFonts w:hint="default" w:ascii="Times New Roman" w:hAnsi="Times New Roman" w:eastAsia="仿宋" w:cs="Times New Roman"/>
          <w:color w:val="000000"/>
          <w:kern w:val="0"/>
          <w:sz w:val="31"/>
          <w:szCs w:val="31"/>
          <w:lang w:val="en-US" w:eastAsia="zh-CN" w:bidi="ar"/>
        </w:rPr>
      </w:pPr>
    </w:p>
    <w:p w14:paraId="515CFBF0">
      <w:pPr>
        <w:rPr>
          <w:rFonts w:hint="default" w:ascii="Times New Roman" w:hAnsi="Times New Roman" w:eastAsia="仿宋" w:cs="Times New Roman"/>
          <w:color w:val="000000"/>
          <w:kern w:val="0"/>
          <w:sz w:val="31"/>
          <w:szCs w:val="31"/>
          <w:lang w:val="en-US" w:eastAsia="zh-CN" w:bidi="ar"/>
        </w:rPr>
      </w:pPr>
    </w:p>
    <w:p w14:paraId="5E4C2968">
      <w:pPr>
        <w:pStyle w:val="17"/>
        <w:ind w:left="0" w:leftChars="0" w:firstLine="0" w:firstLineChars="0"/>
        <w:rPr>
          <w:rFonts w:hint="default" w:ascii="Times New Roman" w:hAnsi="Times New Roman" w:eastAsia="仿宋" w:cs="Times New Roman"/>
          <w:color w:val="000000"/>
          <w:kern w:val="0"/>
          <w:sz w:val="31"/>
          <w:szCs w:val="31"/>
          <w:lang w:val="en-US" w:eastAsia="zh-CN" w:bidi="ar"/>
        </w:rPr>
      </w:pPr>
    </w:p>
    <w:p w14:paraId="3CD8E644">
      <w:pPr>
        <w:rPr>
          <w:rFonts w:hint="default" w:ascii="Times New Roman" w:hAnsi="Times New Roman" w:eastAsia="仿宋" w:cs="Times New Roman"/>
          <w:color w:val="000000"/>
          <w:kern w:val="0"/>
          <w:sz w:val="31"/>
          <w:szCs w:val="31"/>
          <w:lang w:val="en-US" w:eastAsia="zh-CN" w:bidi="ar"/>
        </w:rPr>
      </w:pPr>
    </w:p>
    <w:p w14:paraId="5D847D3F">
      <w:pPr>
        <w:pStyle w:val="17"/>
        <w:rPr>
          <w:rFonts w:hint="default" w:ascii="Times New Roman" w:hAnsi="Times New Roman" w:eastAsia="仿宋" w:cs="Times New Roman"/>
          <w:color w:val="000000"/>
          <w:kern w:val="0"/>
          <w:sz w:val="31"/>
          <w:szCs w:val="31"/>
          <w:lang w:val="en-US" w:eastAsia="zh-CN" w:bidi="ar"/>
        </w:rPr>
      </w:pPr>
    </w:p>
    <w:p w14:paraId="756BFD8A">
      <w:pPr>
        <w:rPr>
          <w:rFonts w:hint="default" w:ascii="Times New Roman" w:hAnsi="Times New Roman" w:eastAsia="仿宋" w:cs="Times New Roman"/>
          <w:color w:val="000000"/>
          <w:kern w:val="0"/>
          <w:sz w:val="31"/>
          <w:szCs w:val="31"/>
          <w:lang w:val="en-US" w:eastAsia="zh-CN" w:bidi="ar"/>
        </w:rPr>
      </w:pPr>
    </w:p>
    <w:p w14:paraId="0DFC491A">
      <w:pPr>
        <w:pStyle w:val="17"/>
        <w:rPr>
          <w:rFonts w:hint="default"/>
          <w:lang w:val="en-US" w:eastAsia="zh-CN"/>
        </w:rPr>
      </w:pPr>
    </w:p>
    <w:p w14:paraId="3742285C">
      <w:pPr>
        <w:spacing w:line="600" w:lineRule="exact"/>
        <w:rPr>
          <w:rFonts w:hint="default" w:ascii="Times New Roman" w:hAnsi="Times New Roman" w:eastAsia="仿宋_GB2312" w:cs="Times New Roman"/>
          <w:color w:val="auto"/>
          <w:sz w:val="28"/>
          <w:szCs w:val="28"/>
          <w:lang w:val="en-US"/>
        </w:rPr>
      </w:pPr>
      <w:r>
        <w:rPr>
          <w:rFonts w:hint="default" w:ascii="Times New Roman" w:hAnsi="Times New Roman" w:cs="Times New Roman"/>
          <w:sz w:val="28"/>
        </w:rPr>
        <w:pict>
          <v:line id="_x0000_s1039" o:spid="_x0000_s1039" o:spt="20" style="position:absolute;left:0pt;margin-left:3.95pt;margin-top:6.5pt;height:0.05pt;width:406.7pt;z-index:251661312;mso-width-relative:page;mso-height-relative:page;" fillcolor="#FFFFFF" filled="t" stroked="t" coordsize="21600,21600">
            <v:path arrowok="t"/>
            <v:fill on="t" focussize="0,0"/>
            <v:stroke weight="0.25pt"/>
            <v:imagedata o:title=""/>
            <o:lock v:ext="edit" aspectratio="f"/>
          </v:line>
        </w:pict>
      </w:r>
      <w:r>
        <w:rPr>
          <w:rFonts w:hint="default" w:ascii="Times New Roman" w:hAnsi="Times New Roman" w:eastAsia="仿宋_GB2312" w:cs="Times New Roman"/>
          <w:color w:val="auto"/>
          <w:sz w:val="28"/>
          <w:szCs w:val="28"/>
        </w:rPr>
        <w:pict>
          <v:line id="Line 3" o:spid="_x0000_s1040" o:spt="20" style="position:absolute;left:0pt;margin-left:-0.75pt;margin-top:29.05pt;height:0.05pt;width:411.6pt;z-index:251662336;mso-width-relative:page;mso-height-relative:page;" filled="f" stroked="t" coordsize="21600,21600" o:gfxdata="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LyLO99YAAAAGAQAADwAAAAAAAAABACAAAAAiAAAAZHJzL2Rvd25yZXYueG1s&#10;UEsBAhQAFAAAAAgAh07iQHIKLOTBAQAAjgMAAA4AAAAAAAAAAQAgAAAAJQEAAGRycy9lMm9Eb2Mu&#10;eG1sUEsFBgAAAAAGAAYAWQEAAFgFAAAAAA==&#10;">
            <v:path arrowok="t"/>
            <v:fill on="f" focussize="0,0"/>
            <v:stroke weight="1pt" joinstyle="round"/>
            <v:imagedata o:title=""/>
            <o:lock v:ext="edit" aspectratio="f"/>
          </v:line>
        </w:pict>
      </w:r>
      <w:r>
        <w:rPr>
          <w:rFonts w:hint="default" w:ascii="Times New Roman" w:hAnsi="Times New Roman" w:eastAsia="仿宋_GB2312" w:cs="Times New Roman"/>
          <w:color w:val="auto"/>
          <w:sz w:val="28"/>
          <w:szCs w:val="28"/>
        </w:rPr>
        <w:t xml:space="preserve"> </w:t>
      </w:r>
      <w:r>
        <w:rPr>
          <w:rFonts w:hint="default" w:ascii="Times New Roman" w:hAnsi="Times New Roman" w:eastAsia="仿宋_GB2312" w:cs="Times New Roman"/>
          <w:color w:val="auto"/>
          <w:sz w:val="28"/>
          <w:szCs w:val="28"/>
          <w:lang w:val="en-US" w:eastAsia="zh-CN"/>
        </w:rPr>
        <w:t xml:space="preserve"> 抄送：达拉特旗农牧业综合行政执法大队</w:t>
      </w:r>
      <w:r>
        <w:rPr>
          <w:rFonts w:hint="eastAsia" w:ascii="Times New Roman" w:hAnsi="Times New Roman" w:eastAsia="仿宋_GB2312" w:cs="Times New Roman"/>
          <w:color w:val="auto"/>
          <w:sz w:val="28"/>
          <w:szCs w:val="28"/>
          <w:lang w:val="en-US" w:eastAsia="zh-CN"/>
        </w:rPr>
        <w:t>。</w:t>
      </w:r>
    </w:p>
    <w:p w14:paraId="22273AC4">
      <w:pPr>
        <w:snapToGrid w:val="0"/>
        <w:spacing w:line="360" w:lineRule="auto"/>
        <w:ind w:right="210" w:rightChars="100" w:firstLine="280" w:firstLineChars="100"/>
        <w:rPr>
          <w:rFonts w:hint="default" w:ascii="Times New Roman" w:hAnsi="Times New Roman" w:cs="Times New Roman"/>
          <w:color w:val="auto"/>
        </w:rPr>
      </w:pPr>
      <w:r>
        <w:rPr>
          <w:rFonts w:hint="default" w:ascii="Times New Roman" w:hAnsi="Times New Roman" w:eastAsia="仿宋_GB2312" w:cs="Times New Roman"/>
          <w:color w:val="auto"/>
          <w:sz w:val="28"/>
          <w:szCs w:val="28"/>
        </w:rPr>
        <w:pict>
          <v:line id="Line 4" o:spid="_x0000_s1041" o:spt="20" style="position:absolute;left:0pt;margin-left:0pt;margin-top:23pt;height:0.05pt;width:412.95pt;z-index:251660288;mso-width-relative:page;mso-height-relative:page;" filled="f" stroked="t" coordsize="21600,21600" o:gfxdata="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Avlp1G1gAAAAYBAAAPAAAAAAAAAAEAIAAAACIAAABkcnMvZG93bnJldi54&#10;bWxQSwECFAAUAAAACACHTuJAIV+HEsMBAACOAwAADgAAAAAAAAABACAAAAAlAQAAZHJzL2Uyb0Rv&#10;Yy54bWxQSwUGAAAAAAYABgBZAQAAWgUAAAAA&#10;">
            <v:path arrowok="t"/>
            <v:fill on="f" focussize="0,0"/>
            <v:stroke weight="1pt" joinstyle="round"/>
            <v:imagedata o:title=""/>
            <o:lock v:ext="edit" aspectratio="f"/>
          </v:line>
        </w:pict>
      </w:r>
      <w:r>
        <w:rPr>
          <w:rFonts w:hint="default" w:ascii="Times New Roman" w:hAnsi="Times New Roman" w:eastAsia="仿宋_GB2312" w:cs="Times New Roman"/>
          <w:color w:val="auto"/>
          <w:sz w:val="28"/>
          <w:szCs w:val="28"/>
        </w:rPr>
        <w:t>达拉特旗</w:t>
      </w:r>
      <w:r>
        <w:rPr>
          <w:rFonts w:hint="default" w:ascii="Times New Roman" w:hAnsi="Times New Roman" w:eastAsia="仿宋_GB2312" w:cs="Times New Roman"/>
          <w:color w:val="auto"/>
          <w:sz w:val="28"/>
          <w:szCs w:val="28"/>
          <w:lang w:eastAsia="zh-CN"/>
        </w:rPr>
        <w:t>水利局</w:t>
      </w:r>
      <w:r>
        <w:rPr>
          <w:rFonts w:hint="default" w:ascii="Times New Roman" w:hAnsi="Times New Roman" w:eastAsia="仿宋_GB2312" w:cs="Times New Roman"/>
          <w:color w:val="auto"/>
          <w:sz w:val="28"/>
          <w:szCs w:val="28"/>
          <w:lang w:val="en-US" w:eastAsia="zh-CN"/>
        </w:rPr>
        <w:t>审批</w:t>
      </w:r>
      <w:r>
        <w:rPr>
          <w:rFonts w:hint="default" w:ascii="Times New Roman" w:hAnsi="Times New Roman" w:eastAsia="仿宋_GB2312" w:cs="Times New Roman"/>
          <w:color w:val="auto"/>
          <w:sz w:val="28"/>
          <w:szCs w:val="28"/>
        </w:rPr>
        <w:t xml:space="preserve">室     </w:t>
      </w:r>
      <w:r>
        <w:rPr>
          <w:rFonts w:hint="default"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rPr>
        <w:t xml:space="preserve">  </w:t>
      </w:r>
      <w:r>
        <w:rPr>
          <w:rFonts w:hint="default" w:ascii="Times New Roman" w:hAnsi="Times New Roman" w:eastAsia="仿宋_GB2312" w:cs="Times New Roman"/>
          <w:color w:val="FF0000"/>
          <w:sz w:val="28"/>
          <w:szCs w:val="28"/>
        </w:rPr>
        <w:t xml:space="preserve"> </w:t>
      </w:r>
      <w:r>
        <w:rPr>
          <w:rFonts w:hint="default" w:ascii="Times New Roman" w:hAnsi="Times New Roman" w:eastAsia="仿宋_GB2312" w:cs="Times New Roman"/>
          <w:color w:val="auto"/>
          <w:sz w:val="28"/>
          <w:szCs w:val="28"/>
        </w:rPr>
        <w:t>20</w:t>
      </w:r>
      <w:r>
        <w:rPr>
          <w:rFonts w:hint="default" w:ascii="Times New Roman" w:hAnsi="Times New Roman" w:eastAsia="仿宋_GB2312" w:cs="Times New Roman"/>
          <w:color w:val="auto"/>
          <w:sz w:val="28"/>
          <w:szCs w:val="28"/>
          <w:lang w:val="en-US" w:eastAsia="zh-CN"/>
        </w:rPr>
        <w:t>2</w:t>
      </w:r>
      <w:r>
        <w:rPr>
          <w:rFonts w:hint="eastAsia" w:ascii="Times New Roman" w:hAnsi="Times New Roman" w:eastAsia="仿宋_GB2312" w:cs="Times New Roman"/>
          <w:color w:val="auto"/>
          <w:sz w:val="28"/>
          <w:szCs w:val="28"/>
          <w:lang w:val="en-US" w:eastAsia="zh-CN"/>
        </w:rPr>
        <w:t>6</w:t>
      </w:r>
      <w:r>
        <w:rPr>
          <w:rFonts w:hint="default" w:ascii="Times New Roman" w:hAnsi="Times New Roman" w:eastAsia="仿宋_GB2312" w:cs="Times New Roman"/>
          <w:color w:val="auto"/>
          <w:sz w:val="28"/>
          <w:szCs w:val="28"/>
          <w:lang w:val="en-US" w:eastAsia="zh-CN"/>
        </w:rPr>
        <w:t xml:space="preserve">年 </w:t>
      </w:r>
      <w:r>
        <w:rPr>
          <w:rFonts w:hint="eastAsia" w:ascii="Times New Roman" w:hAnsi="Times New Roman" w:eastAsia="仿宋_GB2312" w:cs="Times New Roman"/>
          <w:color w:val="auto"/>
          <w:sz w:val="28"/>
          <w:szCs w:val="28"/>
          <w:lang w:val="en-US" w:eastAsia="zh-CN"/>
        </w:rPr>
        <w:t>7</w:t>
      </w:r>
      <w:r>
        <w:rPr>
          <w:rFonts w:hint="default" w:ascii="Times New Roman" w:hAnsi="Times New Roman" w:eastAsia="仿宋_GB2312" w:cs="Times New Roman"/>
          <w:color w:val="auto"/>
          <w:sz w:val="28"/>
          <w:szCs w:val="28"/>
        </w:rPr>
        <w:t>月</w:t>
      </w:r>
      <w:r>
        <w:rPr>
          <w:rFonts w:hint="eastAsia" w:ascii="Times New Roman" w:hAnsi="Times New Roman" w:eastAsia="仿宋_GB2312" w:cs="Times New Roman"/>
          <w:color w:val="auto"/>
          <w:sz w:val="28"/>
          <w:szCs w:val="28"/>
          <w:lang w:val="en-US" w:eastAsia="zh-CN"/>
        </w:rPr>
        <w:t>30</w:t>
      </w:r>
      <w:r>
        <w:rPr>
          <w:rFonts w:hint="default" w:ascii="Times New Roman" w:hAnsi="Times New Roman" w:eastAsia="仿宋_GB2312" w:cs="Times New Roman"/>
          <w:color w:val="auto"/>
          <w:sz w:val="28"/>
          <w:szCs w:val="28"/>
        </w:rPr>
        <w:t>日印</w:t>
      </w:r>
      <w:r>
        <w:rPr>
          <w:rFonts w:hint="default" w:ascii="Times New Roman" w:hAnsi="Times New Roman" w:eastAsia="仿宋_GB2312" w:cs="Times New Roman"/>
          <w:color w:val="auto"/>
          <w:sz w:val="28"/>
          <w:szCs w:val="28"/>
          <w:lang w:eastAsia="zh-CN"/>
        </w:rPr>
        <w:t>发</w:t>
      </w:r>
    </w:p>
    <w:sectPr>
      <w:footerReference r:id="rId3" w:type="default"/>
      <w:pgSz w:w="11906" w:h="16838"/>
      <w:pgMar w:top="1531"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F1">
    <w:altName w:val="Times New Roman"/>
    <w:panose1 w:val="00000000000000000000"/>
    <w:charset w:val="00"/>
    <w:family w:val="roman"/>
    <w:pitch w:val="default"/>
    <w:sig w:usb0="00000000" w:usb1="00000000" w:usb2="00000000"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3FF2F5">
    <w:pPr>
      <w:spacing w:line="164" w:lineRule="exact"/>
      <w:rPr>
        <w:rFonts w:ascii="Times New Roman" w:hAnsi="Times New Roman" w:eastAsia="Times New Roman" w:cs="Times New Roman"/>
        <w:sz w:val="24"/>
        <w:szCs w:val="24"/>
      </w:rPr>
    </w:pPr>
    <w:r>
      <w:rPr>
        <w:sz w:val="24"/>
      </w:rPr>
      <w:pict>
        <v:shape id="_x0000_s2049" o:spid="_x0000_s2049"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77D52B17">
                <w:pPr>
                  <w:pStyle w:val="13"/>
                </w:pPr>
                <w:r>
                  <w:fldChar w:fldCharType="begin"/>
                </w:r>
                <w:r>
                  <w:instrText xml:space="preserve"> PAGE  \* MERGEFORMAT </w:instrText>
                </w:r>
                <w:r>
                  <w:fldChar w:fldCharType="separate"/>
                </w:r>
                <w:r>
                  <w:t>- 1 -</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YTNiNjJlZjFkYzI0MzNkZjkwODAzZDBkMjVlYWQ5YjYifQ=="/>
    <w:docVar w:name="KSO_WPS_MARK_KEY" w:val="bb968390-a863-4877-8806-582e0f05ae4c"/>
  </w:docVars>
  <w:rsids>
    <w:rsidRoot w:val="00416D77"/>
    <w:rsid w:val="00021DD2"/>
    <w:rsid w:val="00027D95"/>
    <w:rsid w:val="00034474"/>
    <w:rsid w:val="00044147"/>
    <w:rsid w:val="00066CCC"/>
    <w:rsid w:val="00082D2C"/>
    <w:rsid w:val="000F0B88"/>
    <w:rsid w:val="000F2572"/>
    <w:rsid w:val="000F526F"/>
    <w:rsid w:val="00102E40"/>
    <w:rsid w:val="00176728"/>
    <w:rsid w:val="001836E9"/>
    <w:rsid w:val="0019073E"/>
    <w:rsid w:val="00196A15"/>
    <w:rsid w:val="00204A79"/>
    <w:rsid w:val="0022354D"/>
    <w:rsid w:val="00244B82"/>
    <w:rsid w:val="002456DF"/>
    <w:rsid w:val="00274881"/>
    <w:rsid w:val="00280014"/>
    <w:rsid w:val="002802E3"/>
    <w:rsid w:val="002852D3"/>
    <w:rsid w:val="00314222"/>
    <w:rsid w:val="00342E2E"/>
    <w:rsid w:val="00357EAD"/>
    <w:rsid w:val="00383326"/>
    <w:rsid w:val="00384103"/>
    <w:rsid w:val="00384C72"/>
    <w:rsid w:val="0039495A"/>
    <w:rsid w:val="003A6BD9"/>
    <w:rsid w:val="003F4FE5"/>
    <w:rsid w:val="00400146"/>
    <w:rsid w:val="004040C8"/>
    <w:rsid w:val="00416D77"/>
    <w:rsid w:val="00431FB0"/>
    <w:rsid w:val="004658AF"/>
    <w:rsid w:val="00471585"/>
    <w:rsid w:val="004B5FEA"/>
    <w:rsid w:val="004C7E53"/>
    <w:rsid w:val="00500F0D"/>
    <w:rsid w:val="0050572E"/>
    <w:rsid w:val="00513689"/>
    <w:rsid w:val="00527418"/>
    <w:rsid w:val="00547B8F"/>
    <w:rsid w:val="00556F45"/>
    <w:rsid w:val="00571DA4"/>
    <w:rsid w:val="005726DC"/>
    <w:rsid w:val="00593D2B"/>
    <w:rsid w:val="005C7A32"/>
    <w:rsid w:val="005E7A0B"/>
    <w:rsid w:val="005F75E1"/>
    <w:rsid w:val="006103C5"/>
    <w:rsid w:val="006834B1"/>
    <w:rsid w:val="00686121"/>
    <w:rsid w:val="00687FA7"/>
    <w:rsid w:val="0069419A"/>
    <w:rsid w:val="0069727E"/>
    <w:rsid w:val="006B0A1C"/>
    <w:rsid w:val="006F2A3A"/>
    <w:rsid w:val="006F54D4"/>
    <w:rsid w:val="00720A5E"/>
    <w:rsid w:val="00756871"/>
    <w:rsid w:val="007A15E6"/>
    <w:rsid w:val="007A518B"/>
    <w:rsid w:val="007D1472"/>
    <w:rsid w:val="007D3BB3"/>
    <w:rsid w:val="007F016E"/>
    <w:rsid w:val="007F54D2"/>
    <w:rsid w:val="007F7876"/>
    <w:rsid w:val="0082184F"/>
    <w:rsid w:val="008316BC"/>
    <w:rsid w:val="008839C9"/>
    <w:rsid w:val="008A267D"/>
    <w:rsid w:val="008D2825"/>
    <w:rsid w:val="008E500E"/>
    <w:rsid w:val="008F13B6"/>
    <w:rsid w:val="008F7BBE"/>
    <w:rsid w:val="00900356"/>
    <w:rsid w:val="009406C7"/>
    <w:rsid w:val="00965A22"/>
    <w:rsid w:val="0098091D"/>
    <w:rsid w:val="009837D9"/>
    <w:rsid w:val="009B33DE"/>
    <w:rsid w:val="009B361E"/>
    <w:rsid w:val="009D773A"/>
    <w:rsid w:val="009F68F0"/>
    <w:rsid w:val="00A21E4D"/>
    <w:rsid w:val="00A30911"/>
    <w:rsid w:val="00A404C6"/>
    <w:rsid w:val="00A45EC8"/>
    <w:rsid w:val="00A6550E"/>
    <w:rsid w:val="00A95453"/>
    <w:rsid w:val="00AB09AB"/>
    <w:rsid w:val="00AE388F"/>
    <w:rsid w:val="00AF62CA"/>
    <w:rsid w:val="00B301B7"/>
    <w:rsid w:val="00B46728"/>
    <w:rsid w:val="00B61252"/>
    <w:rsid w:val="00B875BD"/>
    <w:rsid w:val="00BF31E6"/>
    <w:rsid w:val="00C1773E"/>
    <w:rsid w:val="00C34A3B"/>
    <w:rsid w:val="00C53E59"/>
    <w:rsid w:val="00C93144"/>
    <w:rsid w:val="00C9406D"/>
    <w:rsid w:val="00CB07D9"/>
    <w:rsid w:val="00CB74DC"/>
    <w:rsid w:val="00CF0D2A"/>
    <w:rsid w:val="00D03040"/>
    <w:rsid w:val="00D1586F"/>
    <w:rsid w:val="00D527E0"/>
    <w:rsid w:val="00D56019"/>
    <w:rsid w:val="00D760EE"/>
    <w:rsid w:val="00DB2482"/>
    <w:rsid w:val="00DC07BC"/>
    <w:rsid w:val="00E37E86"/>
    <w:rsid w:val="00E5268A"/>
    <w:rsid w:val="00E7436E"/>
    <w:rsid w:val="00EB515C"/>
    <w:rsid w:val="00EF0840"/>
    <w:rsid w:val="00F25687"/>
    <w:rsid w:val="00F45E62"/>
    <w:rsid w:val="00F54542"/>
    <w:rsid w:val="00F54760"/>
    <w:rsid w:val="00F55E1A"/>
    <w:rsid w:val="00F6108C"/>
    <w:rsid w:val="00F74660"/>
    <w:rsid w:val="00F930B4"/>
    <w:rsid w:val="012176A7"/>
    <w:rsid w:val="012346B7"/>
    <w:rsid w:val="01DE4EE9"/>
    <w:rsid w:val="01E02F29"/>
    <w:rsid w:val="01F91375"/>
    <w:rsid w:val="022E0268"/>
    <w:rsid w:val="02564A03"/>
    <w:rsid w:val="025C30F6"/>
    <w:rsid w:val="02F44773"/>
    <w:rsid w:val="032E25F5"/>
    <w:rsid w:val="03447F50"/>
    <w:rsid w:val="038016F5"/>
    <w:rsid w:val="03994A5E"/>
    <w:rsid w:val="03C423D0"/>
    <w:rsid w:val="03E6144D"/>
    <w:rsid w:val="03F4572B"/>
    <w:rsid w:val="040358FF"/>
    <w:rsid w:val="04577CE5"/>
    <w:rsid w:val="046B3039"/>
    <w:rsid w:val="04BA5E1C"/>
    <w:rsid w:val="04E14BD0"/>
    <w:rsid w:val="05194270"/>
    <w:rsid w:val="053D154A"/>
    <w:rsid w:val="0542129D"/>
    <w:rsid w:val="05456F4C"/>
    <w:rsid w:val="0557023A"/>
    <w:rsid w:val="056062DB"/>
    <w:rsid w:val="056E65E8"/>
    <w:rsid w:val="05833338"/>
    <w:rsid w:val="05BA3B13"/>
    <w:rsid w:val="06304A7B"/>
    <w:rsid w:val="06432B8F"/>
    <w:rsid w:val="06490896"/>
    <w:rsid w:val="06696BC1"/>
    <w:rsid w:val="07D47C34"/>
    <w:rsid w:val="08214C6A"/>
    <w:rsid w:val="082D270B"/>
    <w:rsid w:val="083139C1"/>
    <w:rsid w:val="08601003"/>
    <w:rsid w:val="08A705FC"/>
    <w:rsid w:val="092535FE"/>
    <w:rsid w:val="09471E7F"/>
    <w:rsid w:val="09912688"/>
    <w:rsid w:val="099873A5"/>
    <w:rsid w:val="09D547DA"/>
    <w:rsid w:val="09F3069E"/>
    <w:rsid w:val="0A031EA0"/>
    <w:rsid w:val="0A2E0E1D"/>
    <w:rsid w:val="0AD1176B"/>
    <w:rsid w:val="0AFF3FE0"/>
    <w:rsid w:val="0BA8345E"/>
    <w:rsid w:val="0BD81DFD"/>
    <w:rsid w:val="0C031CBF"/>
    <w:rsid w:val="0C4D1E2F"/>
    <w:rsid w:val="0C7F364B"/>
    <w:rsid w:val="0C840F9D"/>
    <w:rsid w:val="0D1439B3"/>
    <w:rsid w:val="0D171F84"/>
    <w:rsid w:val="0D1D3713"/>
    <w:rsid w:val="0D246507"/>
    <w:rsid w:val="0D2F198E"/>
    <w:rsid w:val="0D59791F"/>
    <w:rsid w:val="0D717D76"/>
    <w:rsid w:val="0D767A72"/>
    <w:rsid w:val="0D8508D0"/>
    <w:rsid w:val="0D8D6C0B"/>
    <w:rsid w:val="0DBF5657"/>
    <w:rsid w:val="0DC336FB"/>
    <w:rsid w:val="0DDC2F39"/>
    <w:rsid w:val="0DE7036E"/>
    <w:rsid w:val="0DFD6734"/>
    <w:rsid w:val="0E2F5D7E"/>
    <w:rsid w:val="0E415359"/>
    <w:rsid w:val="0E863682"/>
    <w:rsid w:val="0ED077EF"/>
    <w:rsid w:val="0F1503A2"/>
    <w:rsid w:val="0F700BC0"/>
    <w:rsid w:val="0FA5685F"/>
    <w:rsid w:val="10226E6C"/>
    <w:rsid w:val="10D45A55"/>
    <w:rsid w:val="117C7CAB"/>
    <w:rsid w:val="11984429"/>
    <w:rsid w:val="11C65F78"/>
    <w:rsid w:val="11CD0FFB"/>
    <w:rsid w:val="11D57EDD"/>
    <w:rsid w:val="120C223D"/>
    <w:rsid w:val="12525E03"/>
    <w:rsid w:val="12942368"/>
    <w:rsid w:val="129D071B"/>
    <w:rsid w:val="12EE5BBC"/>
    <w:rsid w:val="13156511"/>
    <w:rsid w:val="132940E2"/>
    <w:rsid w:val="13A35305"/>
    <w:rsid w:val="13A96E11"/>
    <w:rsid w:val="13C11691"/>
    <w:rsid w:val="14182743"/>
    <w:rsid w:val="1426228F"/>
    <w:rsid w:val="144E576A"/>
    <w:rsid w:val="14754FA0"/>
    <w:rsid w:val="14A02DCF"/>
    <w:rsid w:val="158E52DA"/>
    <w:rsid w:val="15C15DC1"/>
    <w:rsid w:val="15C54614"/>
    <w:rsid w:val="160E3771"/>
    <w:rsid w:val="16107A4D"/>
    <w:rsid w:val="162D6387"/>
    <w:rsid w:val="16AB3398"/>
    <w:rsid w:val="16E66CA8"/>
    <w:rsid w:val="16F25BF5"/>
    <w:rsid w:val="16FF7344"/>
    <w:rsid w:val="17492B6A"/>
    <w:rsid w:val="175541D3"/>
    <w:rsid w:val="175C5B35"/>
    <w:rsid w:val="175F1BF3"/>
    <w:rsid w:val="177F3F63"/>
    <w:rsid w:val="17A259EB"/>
    <w:rsid w:val="17B04328"/>
    <w:rsid w:val="17D952DF"/>
    <w:rsid w:val="18000BA1"/>
    <w:rsid w:val="184024E5"/>
    <w:rsid w:val="18810900"/>
    <w:rsid w:val="18843358"/>
    <w:rsid w:val="19C31195"/>
    <w:rsid w:val="1A10695B"/>
    <w:rsid w:val="1A7B0725"/>
    <w:rsid w:val="1B1A6021"/>
    <w:rsid w:val="1B1D0891"/>
    <w:rsid w:val="1B1D4746"/>
    <w:rsid w:val="1B701BC9"/>
    <w:rsid w:val="1BDC36E4"/>
    <w:rsid w:val="1BFC75B7"/>
    <w:rsid w:val="1C154309"/>
    <w:rsid w:val="1C3561AE"/>
    <w:rsid w:val="1C4161F3"/>
    <w:rsid w:val="1CBA4F53"/>
    <w:rsid w:val="1D583751"/>
    <w:rsid w:val="1D643BD4"/>
    <w:rsid w:val="1D894809"/>
    <w:rsid w:val="1D9F7F99"/>
    <w:rsid w:val="1DC3033C"/>
    <w:rsid w:val="1E2E59FE"/>
    <w:rsid w:val="1E567668"/>
    <w:rsid w:val="1EC86EFB"/>
    <w:rsid w:val="1EE520A6"/>
    <w:rsid w:val="1F2A7299"/>
    <w:rsid w:val="1F412A39"/>
    <w:rsid w:val="1F5D5338"/>
    <w:rsid w:val="1F6227A3"/>
    <w:rsid w:val="1F9C7E9E"/>
    <w:rsid w:val="203F463E"/>
    <w:rsid w:val="20986C08"/>
    <w:rsid w:val="20ED22CF"/>
    <w:rsid w:val="20FA7CA7"/>
    <w:rsid w:val="21264386"/>
    <w:rsid w:val="214A3729"/>
    <w:rsid w:val="219C70A1"/>
    <w:rsid w:val="21BB569A"/>
    <w:rsid w:val="22103B97"/>
    <w:rsid w:val="22207C59"/>
    <w:rsid w:val="222705C8"/>
    <w:rsid w:val="22577506"/>
    <w:rsid w:val="22D22E42"/>
    <w:rsid w:val="232025A5"/>
    <w:rsid w:val="233018D6"/>
    <w:rsid w:val="233405C6"/>
    <w:rsid w:val="23370D3A"/>
    <w:rsid w:val="23462F2B"/>
    <w:rsid w:val="23E5437F"/>
    <w:rsid w:val="244F181B"/>
    <w:rsid w:val="24717D39"/>
    <w:rsid w:val="247A4D5F"/>
    <w:rsid w:val="248A62F0"/>
    <w:rsid w:val="248A723C"/>
    <w:rsid w:val="249E544E"/>
    <w:rsid w:val="24E020F0"/>
    <w:rsid w:val="24F10F33"/>
    <w:rsid w:val="25274D09"/>
    <w:rsid w:val="257E0222"/>
    <w:rsid w:val="263B2F02"/>
    <w:rsid w:val="26402578"/>
    <w:rsid w:val="26437493"/>
    <w:rsid w:val="279D6679"/>
    <w:rsid w:val="27C21BC1"/>
    <w:rsid w:val="27C72475"/>
    <w:rsid w:val="27FC7B73"/>
    <w:rsid w:val="288B722F"/>
    <w:rsid w:val="28AF305B"/>
    <w:rsid w:val="28D37F04"/>
    <w:rsid w:val="28F5537A"/>
    <w:rsid w:val="2922155C"/>
    <w:rsid w:val="29777981"/>
    <w:rsid w:val="2A170307"/>
    <w:rsid w:val="2ABE15D1"/>
    <w:rsid w:val="2AFE5BCB"/>
    <w:rsid w:val="2BA90673"/>
    <w:rsid w:val="2BDA2989"/>
    <w:rsid w:val="2BE7095E"/>
    <w:rsid w:val="2C406815"/>
    <w:rsid w:val="2C9B733B"/>
    <w:rsid w:val="2CC25275"/>
    <w:rsid w:val="2CFB73FF"/>
    <w:rsid w:val="2DFB343C"/>
    <w:rsid w:val="2E135CD8"/>
    <w:rsid w:val="2E324B49"/>
    <w:rsid w:val="2E4E06BC"/>
    <w:rsid w:val="2E505694"/>
    <w:rsid w:val="2E553938"/>
    <w:rsid w:val="2E5F0B8C"/>
    <w:rsid w:val="2EA36753"/>
    <w:rsid w:val="2F2A3FC6"/>
    <w:rsid w:val="2F8F3EA1"/>
    <w:rsid w:val="2FFE58DC"/>
    <w:rsid w:val="30411EB0"/>
    <w:rsid w:val="306010C3"/>
    <w:rsid w:val="30656241"/>
    <w:rsid w:val="30694EE9"/>
    <w:rsid w:val="30BC4505"/>
    <w:rsid w:val="3101042C"/>
    <w:rsid w:val="312B32FF"/>
    <w:rsid w:val="313D6BFF"/>
    <w:rsid w:val="31420BAE"/>
    <w:rsid w:val="31B3245B"/>
    <w:rsid w:val="320C2BE0"/>
    <w:rsid w:val="329A03DE"/>
    <w:rsid w:val="32DC3EBE"/>
    <w:rsid w:val="33052E73"/>
    <w:rsid w:val="339C1440"/>
    <w:rsid w:val="33D2477A"/>
    <w:rsid w:val="33E9274A"/>
    <w:rsid w:val="34ED4076"/>
    <w:rsid w:val="34FF01D5"/>
    <w:rsid w:val="350158F9"/>
    <w:rsid w:val="350E055F"/>
    <w:rsid w:val="350F344D"/>
    <w:rsid w:val="353F7A8B"/>
    <w:rsid w:val="35B85686"/>
    <w:rsid w:val="35FF5CF3"/>
    <w:rsid w:val="36184F27"/>
    <w:rsid w:val="365B5940"/>
    <w:rsid w:val="365E3131"/>
    <w:rsid w:val="36AA1A1D"/>
    <w:rsid w:val="374D731E"/>
    <w:rsid w:val="376E0AE1"/>
    <w:rsid w:val="379D0EEF"/>
    <w:rsid w:val="37B41116"/>
    <w:rsid w:val="37C420EC"/>
    <w:rsid w:val="37D312D1"/>
    <w:rsid w:val="382A263C"/>
    <w:rsid w:val="387D7206"/>
    <w:rsid w:val="391C7093"/>
    <w:rsid w:val="391D4354"/>
    <w:rsid w:val="3947572A"/>
    <w:rsid w:val="395442E9"/>
    <w:rsid w:val="397D0E24"/>
    <w:rsid w:val="39CF56BF"/>
    <w:rsid w:val="39DF63B8"/>
    <w:rsid w:val="3A124633"/>
    <w:rsid w:val="3A41052A"/>
    <w:rsid w:val="3AB100C5"/>
    <w:rsid w:val="3AC63D14"/>
    <w:rsid w:val="3B0B2044"/>
    <w:rsid w:val="3B141037"/>
    <w:rsid w:val="3B3F6234"/>
    <w:rsid w:val="3B5C7D59"/>
    <w:rsid w:val="3B606001"/>
    <w:rsid w:val="3B761719"/>
    <w:rsid w:val="3BE66F12"/>
    <w:rsid w:val="3C433B5C"/>
    <w:rsid w:val="3C9A7B68"/>
    <w:rsid w:val="3D3E73C3"/>
    <w:rsid w:val="3D53176E"/>
    <w:rsid w:val="3DED4DA8"/>
    <w:rsid w:val="3DF04A32"/>
    <w:rsid w:val="3DF06634"/>
    <w:rsid w:val="3DFC749B"/>
    <w:rsid w:val="3E441102"/>
    <w:rsid w:val="3E93792F"/>
    <w:rsid w:val="3E9B6D2E"/>
    <w:rsid w:val="3EC5725A"/>
    <w:rsid w:val="3F5A7746"/>
    <w:rsid w:val="3F7E7D58"/>
    <w:rsid w:val="3FA2402D"/>
    <w:rsid w:val="3FBE7495"/>
    <w:rsid w:val="3FC4365A"/>
    <w:rsid w:val="405A0E62"/>
    <w:rsid w:val="407F441E"/>
    <w:rsid w:val="40D1076D"/>
    <w:rsid w:val="40EC7F3E"/>
    <w:rsid w:val="412B5C2D"/>
    <w:rsid w:val="412C46B3"/>
    <w:rsid w:val="415A0EDD"/>
    <w:rsid w:val="420143D8"/>
    <w:rsid w:val="424A6050"/>
    <w:rsid w:val="424E7C19"/>
    <w:rsid w:val="429C6972"/>
    <w:rsid w:val="42C33578"/>
    <w:rsid w:val="431662B2"/>
    <w:rsid w:val="43842D4F"/>
    <w:rsid w:val="43DC589E"/>
    <w:rsid w:val="44143F62"/>
    <w:rsid w:val="4414436D"/>
    <w:rsid w:val="445B0D2C"/>
    <w:rsid w:val="44FA05EA"/>
    <w:rsid w:val="454E1E7D"/>
    <w:rsid w:val="45A06CCF"/>
    <w:rsid w:val="46A21068"/>
    <w:rsid w:val="46B25817"/>
    <w:rsid w:val="46BA5754"/>
    <w:rsid w:val="46BF224D"/>
    <w:rsid w:val="46EE2A12"/>
    <w:rsid w:val="475970A9"/>
    <w:rsid w:val="477056E0"/>
    <w:rsid w:val="47795679"/>
    <w:rsid w:val="477C03B2"/>
    <w:rsid w:val="47D748C8"/>
    <w:rsid w:val="47DE6225"/>
    <w:rsid w:val="481B3E68"/>
    <w:rsid w:val="485153C8"/>
    <w:rsid w:val="488A05D1"/>
    <w:rsid w:val="4891252C"/>
    <w:rsid w:val="48A43377"/>
    <w:rsid w:val="48C478D0"/>
    <w:rsid w:val="492A3BEC"/>
    <w:rsid w:val="493F6E01"/>
    <w:rsid w:val="49B44BED"/>
    <w:rsid w:val="49C369D7"/>
    <w:rsid w:val="4A4B30E2"/>
    <w:rsid w:val="4B3914BA"/>
    <w:rsid w:val="4B6A26A3"/>
    <w:rsid w:val="4BA4497A"/>
    <w:rsid w:val="4BED4FF0"/>
    <w:rsid w:val="4C077BB0"/>
    <w:rsid w:val="4C115F72"/>
    <w:rsid w:val="4C3B00CB"/>
    <w:rsid w:val="4C410A70"/>
    <w:rsid w:val="4C531DA4"/>
    <w:rsid w:val="4CA701BE"/>
    <w:rsid w:val="4CF71E1E"/>
    <w:rsid w:val="4D5034B3"/>
    <w:rsid w:val="4D674705"/>
    <w:rsid w:val="4D6B4D1A"/>
    <w:rsid w:val="4E1F0D33"/>
    <w:rsid w:val="4E97435F"/>
    <w:rsid w:val="4EEA3531"/>
    <w:rsid w:val="4FA0200C"/>
    <w:rsid w:val="50614CBD"/>
    <w:rsid w:val="506243D8"/>
    <w:rsid w:val="510635DC"/>
    <w:rsid w:val="51284385"/>
    <w:rsid w:val="51444532"/>
    <w:rsid w:val="51585242"/>
    <w:rsid w:val="51585CF5"/>
    <w:rsid w:val="51DA2954"/>
    <w:rsid w:val="5205051C"/>
    <w:rsid w:val="52580C58"/>
    <w:rsid w:val="52A4738B"/>
    <w:rsid w:val="52B92B7C"/>
    <w:rsid w:val="52F802B4"/>
    <w:rsid w:val="53593B0C"/>
    <w:rsid w:val="53952657"/>
    <w:rsid w:val="548B7562"/>
    <w:rsid w:val="54B40625"/>
    <w:rsid w:val="54BA6028"/>
    <w:rsid w:val="54E9550A"/>
    <w:rsid w:val="54FB67B0"/>
    <w:rsid w:val="55793696"/>
    <w:rsid w:val="55DE6835"/>
    <w:rsid w:val="55E90632"/>
    <w:rsid w:val="56023C9B"/>
    <w:rsid w:val="560D1BF6"/>
    <w:rsid w:val="562A1D1A"/>
    <w:rsid w:val="56A60927"/>
    <w:rsid w:val="56BE1886"/>
    <w:rsid w:val="56D300BE"/>
    <w:rsid w:val="56DF2530"/>
    <w:rsid w:val="56F87F14"/>
    <w:rsid w:val="576B3890"/>
    <w:rsid w:val="5780315D"/>
    <w:rsid w:val="57917F8F"/>
    <w:rsid w:val="57F814AD"/>
    <w:rsid w:val="583F3C9B"/>
    <w:rsid w:val="58847504"/>
    <w:rsid w:val="58D67EEF"/>
    <w:rsid w:val="59692187"/>
    <w:rsid w:val="597063F8"/>
    <w:rsid w:val="59720ABA"/>
    <w:rsid w:val="59A42E61"/>
    <w:rsid w:val="59C91724"/>
    <w:rsid w:val="5A0F2FF6"/>
    <w:rsid w:val="5A1237E0"/>
    <w:rsid w:val="5A1436AD"/>
    <w:rsid w:val="5A2A2A99"/>
    <w:rsid w:val="5A76594E"/>
    <w:rsid w:val="5AC03997"/>
    <w:rsid w:val="5AED6748"/>
    <w:rsid w:val="5B161069"/>
    <w:rsid w:val="5B4812FB"/>
    <w:rsid w:val="5B53368D"/>
    <w:rsid w:val="5B8501A8"/>
    <w:rsid w:val="5B8715D2"/>
    <w:rsid w:val="5B935681"/>
    <w:rsid w:val="5BB636D6"/>
    <w:rsid w:val="5BBC7991"/>
    <w:rsid w:val="5C0F53A9"/>
    <w:rsid w:val="5C1955A4"/>
    <w:rsid w:val="5C2A10A8"/>
    <w:rsid w:val="5C657195"/>
    <w:rsid w:val="5CE8150D"/>
    <w:rsid w:val="5D0B1936"/>
    <w:rsid w:val="5D363F40"/>
    <w:rsid w:val="5DB71576"/>
    <w:rsid w:val="5DBE5A62"/>
    <w:rsid w:val="5DC13F64"/>
    <w:rsid w:val="5E10338D"/>
    <w:rsid w:val="5E407ECD"/>
    <w:rsid w:val="5EA15BD5"/>
    <w:rsid w:val="5EE112B3"/>
    <w:rsid w:val="5F247461"/>
    <w:rsid w:val="5F382BCD"/>
    <w:rsid w:val="5F6E627D"/>
    <w:rsid w:val="5FB93F77"/>
    <w:rsid w:val="604D3C61"/>
    <w:rsid w:val="611C2580"/>
    <w:rsid w:val="613368D3"/>
    <w:rsid w:val="61B61536"/>
    <w:rsid w:val="629E491B"/>
    <w:rsid w:val="62C3483E"/>
    <w:rsid w:val="63347FB1"/>
    <w:rsid w:val="63667667"/>
    <w:rsid w:val="64411936"/>
    <w:rsid w:val="64EA5B43"/>
    <w:rsid w:val="67074CD3"/>
    <w:rsid w:val="678B445E"/>
    <w:rsid w:val="679C490D"/>
    <w:rsid w:val="67E3112E"/>
    <w:rsid w:val="681B3B4E"/>
    <w:rsid w:val="6845113F"/>
    <w:rsid w:val="68762FFE"/>
    <w:rsid w:val="690075D9"/>
    <w:rsid w:val="69412CEE"/>
    <w:rsid w:val="69586200"/>
    <w:rsid w:val="6960194E"/>
    <w:rsid w:val="696955FE"/>
    <w:rsid w:val="69696FA4"/>
    <w:rsid w:val="6973138F"/>
    <w:rsid w:val="6A7B7B1F"/>
    <w:rsid w:val="6A8773BD"/>
    <w:rsid w:val="6AA82AC1"/>
    <w:rsid w:val="6ACB622C"/>
    <w:rsid w:val="6AD52E36"/>
    <w:rsid w:val="6AE4025F"/>
    <w:rsid w:val="6B094E92"/>
    <w:rsid w:val="6B3D47F9"/>
    <w:rsid w:val="6B4A6B0B"/>
    <w:rsid w:val="6B541BC0"/>
    <w:rsid w:val="6BD42B38"/>
    <w:rsid w:val="6C0A5B05"/>
    <w:rsid w:val="6C35774D"/>
    <w:rsid w:val="6C4F2850"/>
    <w:rsid w:val="6C7166D6"/>
    <w:rsid w:val="6CFC4050"/>
    <w:rsid w:val="6D0262E2"/>
    <w:rsid w:val="6D4545F8"/>
    <w:rsid w:val="6D515A7E"/>
    <w:rsid w:val="6D9D63FA"/>
    <w:rsid w:val="6DC55FDD"/>
    <w:rsid w:val="6DE808FC"/>
    <w:rsid w:val="6E390823"/>
    <w:rsid w:val="6EA94ABC"/>
    <w:rsid w:val="6ECA2AEA"/>
    <w:rsid w:val="6EDA040B"/>
    <w:rsid w:val="6F262B1D"/>
    <w:rsid w:val="6F3365CC"/>
    <w:rsid w:val="6F6B5875"/>
    <w:rsid w:val="6F8355B4"/>
    <w:rsid w:val="6FB93B84"/>
    <w:rsid w:val="70340C88"/>
    <w:rsid w:val="70E370B9"/>
    <w:rsid w:val="71170C0A"/>
    <w:rsid w:val="719505CF"/>
    <w:rsid w:val="71F36025"/>
    <w:rsid w:val="72091B17"/>
    <w:rsid w:val="72940B4B"/>
    <w:rsid w:val="72C94E8B"/>
    <w:rsid w:val="72ED00AB"/>
    <w:rsid w:val="732D259E"/>
    <w:rsid w:val="733632F4"/>
    <w:rsid w:val="739A30F4"/>
    <w:rsid w:val="73D633F2"/>
    <w:rsid w:val="73E60ED9"/>
    <w:rsid w:val="740C4066"/>
    <w:rsid w:val="74107983"/>
    <w:rsid w:val="743B4C40"/>
    <w:rsid w:val="744951BC"/>
    <w:rsid w:val="74535134"/>
    <w:rsid w:val="747A23E3"/>
    <w:rsid w:val="74AE69AD"/>
    <w:rsid w:val="750A17A8"/>
    <w:rsid w:val="75B173E7"/>
    <w:rsid w:val="761415DE"/>
    <w:rsid w:val="7641507F"/>
    <w:rsid w:val="764E73BA"/>
    <w:rsid w:val="76B76805"/>
    <w:rsid w:val="773A5475"/>
    <w:rsid w:val="77D243F1"/>
    <w:rsid w:val="77E17E12"/>
    <w:rsid w:val="77FC0EFD"/>
    <w:rsid w:val="781349B9"/>
    <w:rsid w:val="78376601"/>
    <w:rsid w:val="78437072"/>
    <w:rsid w:val="78776EDC"/>
    <w:rsid w:val="787966D3"/>
    <w:rsid w:val="787A6B86"/>
    <w:rsid w:val="78C97697"/>
    <w:rsid w:val="795E526C"/>
    <w:rsid w:val="7990680D"/>
    <w:rsid w:val="79E90EE7"/>
    <w:rsid w:val="7A3A7450"/>
    <w:rsid w:val="7AB32755"/>
    <w:rsid w:val="7B376FBB"/>
    <w:rsid w:val="7B5D0004"/>
    <w:rsid w:val="7B83737D"/>
    <w:rsid w:val="7C28382B"/>
    <w:rsid w:val="7C3976EC"/>
    <w:rsid w:val="7C4E2A32"/>
    <w:rsid w:val="7C542B1B"/>
    <w:rsid w:val="7CCB48DE"/>
    <w:rsid w:val="7CE608AF"/>
    <w:rsid w:val="7CFA35B7"/>
    <w:rsid w:val="7D2A05B7"/>
    <w:rsid w:val="7D4E0E02"/>
    <w:rsid w:val="7D682AE2"/>
    <w:rsid w:val="7D69016E"/>
    <w:rsid w:val="7DBB24AC"/>
    <w:rsid w:val="7E3579C8"/>
    <w:rsid w:val="7E911B23"/>
    <w:rsid w:val="7EAE2C30"/>
    <w:rsid w:val="7EC65090"/>
    <w:rsid w:val="7EC86690"/>
    <w:rsid w:val="7EE00881"/>
    <w:rsid w:val="7F2577F5"/>
    <w:rsid w:val="7F7333C7"/>
    <w:rsid w:val="7FCA12E2"/>
    <w:rsid w:val="7FE70B3E"/>
    <w:rsid w:val="DF3DEB20"/>
    <w:rsid w:val="DFFB7151"/>
    <w:rsid w:val="E7C7C1C6"/>
    <w:rsid w:val="FFFB6FC0"/>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0" w:semiHidden="0" w:name="heading 4"/>
    <w:lsdException w:qFormat="1" w:unhideWhenUsed="0" w:uiPriority="0" w:semiHidden="0" w:name="heading 5"/>
    <w:lsdException w:qFormat="1" w:unhideWhenUsed="0"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qFormat="1" w:unhideWhenUsed="0" w:uiPriority="0" w:semiHidden="0"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4"/>
    <w:basedOn w:val="1"/>
    <w:next w:val="1"/>
    <w:qFormat/>
    <w:uiPriority w:val="0"/>
    <w:pPr>
      <w:tabs>
        <w:tab w:val="left" w:pos="0"/>
      </w:tabs>
      <w:spacing w:before="240" w:after="240"/>
      <w:jc w:val="left"/>
      <w:outlineLvl w:val="3"/>
    </w:pPr>
    <w:rPr>
      <w:rFonts w:ascii="Arial" w:hAnsi="Arial"/>
      <w:kern w:val="44"/>
      <w:szCs w:val="28"/>
    </w:rPr>
  </w:style>
  <w:style w:type="paragraph" w:styleId="3">
    <w:name w:val="heading 5"/>
    <w:basedOn w:val="1"/>
    <w:next w:val="1"/>
    <w:autoRedefine/>
    <w:qFormat/>
    <w:uiPriority w:val="0"/>
    <w:pPr>
      <w:keepNext/>
      <w:keepLines/>
      <w:tabs>
        <w:tab w:val="center" w:pos="6804"/>
        <w:tab w:val="right" w:pos="7371"/>
      </w:tabs>
      <w:overflowPunct w:val="0"/>
      <w:adjustRightInd w:val="0"/>
      <w:spacing w:line="360" w:lineRule="auto"/>
      <w:textAlignment w:val="baseline"/>
      <w:outlineLvl w:val="4"/>
    </w:pPr>
    <w:rPr>
      <w:rFonts w:ascii="Times New Roman" w:hAnsi="Times New Roman"/>
      <w:color w:val="008000"/>
      <w:kern w:val="0"/>
      <w:sz w:val="28"/>
      <w:szCs w:val="20"/>
    </w:rPr>
  </w:style>
  <w:style w:type="paragraph" w:styleId="4">
    <w:name w:val="heading 6"/>
    <w:basedOn w:val="1"/>
    <w:next w:val="1"/>
    <w:autoRedefine/>
    <w:qFormat/>
    <w:uiPriority w:val="9"/>
    <w:pPr>
      <w:tabs>
        <w:tab w:val="left" w:pos="980"/>
        <w:tab w:val="left" w:pos="1152"/>
      </w:tabs>
      <w:ind w:left="1152" w:hanging="1152"/>
      <w:outlineLvl w:val="5"/>
    </w:pPr>
  </w:style>
  <w:style w:type="character" w:default="1" w:styleId="19">
    <w:name w:val="Default Paragraph Font"/>
    <w:autoRedefine/>
    <w:semiHidden/>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5">
    <w:name w:val="table of authorities"/>
    <w:basedOn w:val="1"/>
    <w:next w:val="1"/>
    <w:autoRedefine/>
    <w:qFormat/>
    <w:uiPriority w:val="0"/>
    <w:pPr>
      <w:ind w:left="420" w:leftChars="200" w:firstLine="562"/>
    </w:pPr>
    <w:rPr>
      <w:rFonts w:ascii="仿宋" w:hAnsi="仿宋" w:eastAsia="仿宋"/>
    </w:rPr>
  </w:style>
  <w:style w:type="paragraph" w:styleId="6">
    <w:name w:val="Normal Indent"/>
    <w:basedOn w:val="1"/>
    <w:autoRedefine/>
    <w:qFormat/>
    <w:uiPriority w:val="0"/>
    <w:pPr>
      <w:adjustRightInd w:val="0"/>
      <w:ind w:firstLine="420"/>
      <w:jc w:val="left"/>
      <w:textAlignment w:val="baseline"/>
    </w:pPr>
    <w:rPr>
      <w:rFonts w:ascii="宋体"/>
      <w:kern w:val="0"/>
      <w:sz w:val="24"/>
      <w:szCs w:val="20"/>
    </w:rPr>
  </w:style>
  <w:style w:type="paragraph" w:styleId="7">
    <w:name w:val="Body Text"/>
    <w:basedOn w:val="1"/>
    <w:autoRedefine/>
    <w:qFormat/>
    <w:uiPriority w:val="0"/>
    <w:pPr>
      <w:spacing w:after="120"/>
    </w:pPr>
  </w:style>
  <w:style w:type="paragraph" w:styleId="8">
    <w:name w:val="Body Text Indent"/>
    <w:basedOn w:val="1"/>
    <w:autoRedefine/>
    <w:qFormat/>
    <w:uiPriority w:val="0"/>
    <w:pPr>
      <w:autoSpaceDE w:val="0"/>
      <w:autoSpaceDN w:val="0"/>
      <w:adjustRightInd w:val="0"/>
      <w:spacing w:line="360" w:lineRule="auto"/>
      <w:ind w:right="156" w:firstLine="480" w:firstLineChars="200"/>
    </w:pPr>
    <w:rPr>
      <w:sz w:val="24"/>
    </w:rPr>
  </w:style>
  <w:style w:type="paragraph" w:styleId="9">
    <w:name w:val="toc 8"/>
    <w:next w:val="1"/>
    <w:autoRedefine/>
    <w:qFormat/>
    <w:uiPriority w:val="0"/>
    <w:pPr>
      <w:wordWrap w:val="0"/>
      <w:ind w:left="1270"/>
      <w:jc w:val="both"/>
    </w:pPr>
    <w:rPr>
      <w:rFonts w:ascii="Times New Roman" w:hAnsi="Times New Roman" w:eastAsia="宋体" w:cs="Times New Roman"/>
      <w:lang w:val="en-US" w:eastAsia="zh-CN" w:bidi="ar-SA"/>
    </w:rPr>
  </w:style>
  <w:style w:type="paragraph" w:styleId="10">
    <w:name w:val="Date"/>
    <w:basedOn w:val="1"/>
    <w:next w:val="1"/>
    <w:link w:val="29"/>
    <w:autoRedefine/>
    <w:semiHidden/>
    <w:unhideWhenUsed/>
    <w:qFormat/>
    <w:uiPriority w:val="99"/>
    <w:pPr>
      <w:ind w:left="100" w:leftChars="2500"/>
    </w:pPr>
  </w:style>
  <w:style w:type="paragraph" w:styleId="11">
    <w:name w:val="Body Text Indent 2"/>
    <w:basedOn w:val="1"/>
    <w:next w:val="1"/>
    <w:autoRedefine/>
    <w:qFormat/>
    <w:uiPriority w:val="0"/>
    <w:pPr>
      <w:ind w:firstLine="630"/>
    </w:pPr>
    <w:rPr>
      <w:rFonts w:ascii="Times New Roman" w:hAnsi="Times New Roman"/>
      <w:sz w:val="32"/>
      <w:szCs w:val="24"/>
    </w:rPr>
  </w:style>
  <w:style w:type="paragraph" w:styleId="12">
    <w:name w:val="Balloon Text"/>
    <w:basedOn w:val="1"/>
    <w:link w:val="31"/>
    <w:autoRedefine/>
    <w:semiHidden/>
    <w:unhideWhenUsed/>
    <w:qFormat/>
    <w:uiPriority w:val="99"/>
    <w:rPr>
      <w:sz w:val="18"/>
      <w:szCs w:val="18"/>
    </w:rPr>
  </w:style>
  <w:style w:type="paragraph" w:styleId="13">
    <w:name w:val="footer"/>
    <w:basedOn w:val="1"/>
    <w:link w:val="28"/>
    <w:autoRedefine/>
    <w:unhideWhenUsed/>
    <w:qFormat/>
    <w:uiPriority w:val="99"/>
    <w:pPr>
      <w:tabs>
        <w:tab w:val="center" w:pos="4153"/>
        <w:tab w:val="right" w:pos="8306"/>
      </w:tabs>
      <w:snapToGrid w:val="0"/>
      <w:jc w:val="left"/>
    </w:pPr>
    <w:rPr>
      <w:sz w:val="18"/>
      <w:szCs w:val="18"/>
    </w:rPr>
  </w:style>
  <w:style w:type="paragraph" w:styleId="14">
    <w:name w:val="header"/>
    <w:basedOn w:val="1"/>
    <w:link w:val="27"/>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5">
    <w:name w:val="Normal (Web)"/>
    <w:basedOn w:val="1"/>
    <w:autoRedefine/>
    <w:unhideWhenUsed/>
    <w:qFormat/>
    <w:uiPriority w:val="99"/>
    <w:pPr>
      <w:widowControl/>
      <w:jc w:val="left"/>
    </w:pPr>
    <w:rPr>
      <w:rFonts w:ascii="宋体" w:hAnsi="宋体" w:eastAsia="宋体" w:cs="宋体"/>
      <w:kern w:val="0"/>
      <w:sz w:val="24"/>
      <w:szCs w:val="24"/>
    </w:rPr>
  </w:style>
  <w:style w:type="paragraph" w:styleId="16">
    <w:name w:val="Body Text First Indent"/>
    <w:basedOn w:val="7"/>
    <w:next w:val="1"/>
    <w:autoRedefine/>
    <w:qFormat/>
    <w:uiPriority w:val="0"/>
    <w:pPr>
      <w:ind w:firstLine="420" w:firstLineChars="100"/>
    </w:pPr>
  </w:style>
  <w:style w:type="paragraph" w:styleId="17">
    <w:name w:val="Body Text First Indent 2"/>
    <w:basedOn w:val="8"/>
    <w:next w:val="16"/>
    <w:autoRedefine/>
    <w:qFormat/>
    <w:uiPriority w:val="0"/>
    <w:pPr>
      <w:ind w:firstLine="420"/>
    </w:pPr>
  </w:style>
  <w:style w:type="character" w:styleId="20">
    <w:name w:val="page number"/>
    <w:basedOn w:val="19"/>
    <w:autoRedefine/>
    <w:qFormat/>
    <w:uiPriority w:val="0"/>
  </w:style>
  <w:style w:type="paragraph" w:customStyle="1" w:styleId="21">
    <w:name w:val="样式 设计说明书第三级 + 首行缩进:  2 字符"/>
    <w:basedOn w:val="1"/>
    <w:qFormat/>
    <w:uiPriority w:val="0"/>
    <w:pPr>
      <w:keepNext/>
      <w:keepLines/>
      <w:adjustRightInd/>
      <w:snapToGrid/>
      <w:spacing w:before="100" w:beforeLines="0" w:line="500" w:lineRule="exact"/>
      <w:ind w:firstLine="200" w:firstLineChars="200"/>
      <w:jc w:val="left"/>
      <w:outlineLvl w:val="2"/>
    </w:pPr>
    <w:rPr>
      <w:b/>
      <w:bCs/>
      <w:kern w:val="44"/>
      <w:szCs w:val="28"/>
    </w:rPr>
  </w:style>
  <w:style w:type="paragraph" w:customStyle="1" w:styleId="22">
    <w:name w:val="Default"/>
    <w:qFormat/>
    <w:uiPriority w:val="0"/>
    <w:pPr>
      <w:widowControl w:val="0"/>
      <w:autoSpaceDE w:val="0"/>
      <w:autoSpaceDN w:val="0"/>
      <w:adjustRightInd w:val="0"/>
    </w:pPr>
    <w:rPr>
      <w:rFonts w:ascii="华文中宋" w:hAnsi="Calibri" w:eastAsia="华文中宋" w:cs="华文中宋"/>
      <w:color w:val="000000"/>
      <w:sz w:val="24"/>
      <w:szCs w:val="24"/>
      <w:lang w:val="en-US" w:eastAsia="zh-CN" w:bidi="ar-SA"/>
    </w:rPr>
  </w:style>
  <w:style w:type="paragraph" w:customStyle="1" w:styleId="23">
    <w:name w:val="样式 宋体 小四 行距: 1.5 倍行距"/>
    <w:basedOn w:val="1"/>
    <w:next w:val="3"/>
    <w:autoRedefine/>
    <w:qFormat/>
    <w:uiPriority w:val="0"/>
    <w:pPr>
      <w:widowControl/>
      <w:spacing w:after="120" w:line="360" w:lineRule="auto"/>
      <w:ind w:firstLine="480" w:firstLineChars="200"/>
      <w:textAlignment w:val="baseline"/>
    </w:pPr>
    <w:rPr>
      <w:rFonts w:ascii="宋体" w:hAnsi="宋体" w:cs="宋体"/>
      <w:kern w:val="0"/>
      <w:sz w:val="24"/>
      <w:szCs w:val="20"/>
    </w:rPr>
  </w:style>
  <w:style w:type="paragraph" w:customStyle="1" w:styleId="24">
    <w:name w:val="样式 正文文本缩进 + 行距: 1.5 倍行距"/>
    <w:basedOn w:val="1"/>
    <w:autoRedefine/>
    <w:qFormat/>
    <w:uiPriority w:val="0"/>
    <w:pPr>
      <w:spacing w:after="120" w:line="360" w:lineRule="auto"/>
      <w:ind w:left="90" w:leftChars="32" w:firstLine="560" w:firstLineChars="200"/>
    </w:pPr>
    <w:rPr>
      <w:rFonts w:cs="宋体"/>
    </w:rPr>
  </w:style>
  <w:style w:type="paragraph" w:customStyle="1" w:styleId="25">
    <w:name w:val="Body Text 21"/>
    <w:basedOn w:val="1"/>
    <w:next w:val="1"/>
    <w:autoRedefine/>
    <w:qFormat/>
    <w:uiPriority w:val="0"/>
    <w:pPr>
      <w:spacing w:after="120" w:line="480" w:lineRule="auto"/>
    </w:pPr>
  </w:style>
  <w:style w:type="paragraph" w:customStyle="1" w:styleId="26">
    <w:name w:val="BodyText1I"/>
    <w:basedOn w:val="1"/>
    <w:autoRedefine/>
    <w:qFormat/>
    <w:uiPriority w:val="0"/>
    <w:pPr>
      <w:ind w:firstLine="420" w:firstLineChars="100"/>
      <w:jc w:val="both"/>
      <w:textAlignment w:val="baseline"/>
    </w:pPr>
  </w:style>
  <w:style w:type="character" w:customStyle="1" w:styleId="27">
    <w:name w:val="页眉 Char"/>
    <w:basedOn w:val="19"/>
    <w:link w:val="14"/>
    <w:autoRedefine/>
    <w:qFormat/>
    <w:uiPriority w:val="99"/>
    <w:rPr>
      <w:sz w:val="18"/>
      <w:szCs w:val="18"/>
    </w:rPr>
  </w:style>
  <w:style w:type="character" w:customStyle="1" w:styleId="28">
    <w:name w:val="页脚 Char"/>
    <w:basedOn w:val="19"/>
    <w:link w:val="13"/>
    <w:autoRedefine/>
    <w:qFormat/>
    <w:uiPriority w:val="99"/>
    <w:rPr>
      <w:sz w:val="18"/>
      <w:szCs w:val="18"/>
    </w:rPr>
  </w:style>
  <w:style w:type="character" w:customStyle="1" w:styleId="29">
    <w:name w:val="日期 Char"/>
    <w:basedOn w:val="19"/>
    <w:link w:val="10"/>
    <w:autoRedefine/>
    <w:semiHidden/>
    <w:qFormat/>
    <w:uiPriority w:val="99"/>
  </w:style>
  <w:style w:type="paragraph" w:customStyle="1" w:styleId="30">
    <w:name w:val="4 Char"/>
    <w:basedOn w:val="1"/>
    <w:autoRedefine/>
    <w:qFormat/>
    <w:uiPriority w:val="0"/>
    <w:rPr>
      <w:rFonts w:ascii="Times New Roman" w:hAnsi="Times New Roman" w:eastAsia="宋体" w:cs="Times New Roman"/>
      <w:szCs w:val="24"/>
    </w:rPr>
  </w:style>
  <w:style w:type="character" w:customStyle="1" w:styleId="31">
    <w:name w:val="批注框文本 Char"/>
    <w:basedOn w:val="19"/>
    <w:link w:val="12"/>
    <w:autoRedefine/>
    <w:semiHidden/>
    <w:qFormat/>
    <w:uiPriority w:val="99"/>
    <w:rPr>
      <w:sz w:val="18"/>
      <w:szCs w:val="18"/>
    </w:rPr>
  </w:style>
  <w:style w:type="character" w:customStyle="1" w:styleId="32">
    <w:name w:val="fontstyle01"/>
    <w:autoRedefine/>
    <w:qFormat/>
    <w:uiPriority w:val="0"/>
    <w:rPr>
      <w:rFonts w:hint="default" w:ascii="F1" w:hAnsi="F1"/>
      <w:color w:val="000000"/>
      <w:sz w:val="28"/>
      <w:szCs w:val="28"/>
    </w:rPr>
  </w:style>
  <w:style w:type="paragraph" w:customStyle="1" w:styleId="33">
    <w:name w:val="样式 纯文本文章正文 + 左  0 字符"/>
    <w:basedOn w:val="1"/>
    <w:autoRedefine/>
    <w:semiHidden/>
    <w:qFormat/>
    <w:uiPriority w:val="0"/>
    <w:pPr>
      <w:ind w:firstLine="560" w:firstLineChars="200"/>
    </w:pPr>
    <w:rPr>
      <w:rFonts w:ascii="宋体" w:hAnsi="Courier New" w:cs="宋体"/>
      <w:szCs w:val="20"/>
    </w:rPr>
  </w:style>
  <w:style w:type="paragraph" w:customStyle="1" w:styleId="34">
    <w:name w:val="样式1"/>
    <w:autoRedefine/>
    <w:qFormat/>
    <w:uiPriority w:val="0"/>
    <w:pPr>
      <w:spacing w:line="720" w:lineRule="exact"/>
      <w:jc w:val="center"/>
    </w:pPr>
    <w:rPr>
      <w:rFonts w:ascii="宋体" w:hAnsi="宋体" w:eastAsia="宋体" w:cs="Times New Roman"/>
      <w:b/>
      <w:sz w:val="36"/>
      <w:lang w:val="en-US" w:eastAsia="zh-CN" w:bidi="ar-SA"/>
    </w:rPr>
  </w:style>
  <w:style w:type="paragraph" w:customStyle="1" w:styleId="35">
    <w:name w:val="BodyText1I2"/>
    <w:basedOn w:val="1"/>
    <w:autoRedefine/>
    <w:qFormat/>
    <w:uiPriority w:val="0"/>
    <w:pPr>
      <w:spacing w:after="120"/>
      <w:ind w:left="420" w:leftChars="200" w:firstLine="420" w:firstLineChars="200"/>
      <w:textAlignment w:val="baseline"/>
    </w:pPr>
    <w:rPr>
      <w:rFonts w:ascii="Calibri" w:hAnsi="Calibri" w:eastAsia="宋体" w:cs="Times New Roman"/>
      <w:szCs w:val="24"/>
    </w:rPr>
  </w:style>
  <w:style w:type="character" w:customStyle="1" w:styleId="36">
    <w:name w:val="NormalCharacter"/>
    <w:autoRedefine/>
    <w:qFormat/>
    <w:uiPriority w:val="0"/>
    <w:rPr>
      <w:kern w:val="2"/>
      <w:sz w:val="21"/>
      <w:szCs w:val="24"/>
      <w:lang w:val="en-US" w:eastAsia="zh-CN" w:bidi="ar-SA"/>
    </w:rPr>
  </w:style>
  <w:style w:type="paragraph" w:customStyle="1" w:styleId="37">
    <w:name w:val="节1"/>
    <w:basedOn w:val="1"/>
    <w:next w:val="1"/>
    <w:autoRedefine/>
    <w:qFormat/>
    <w:uiPriority w:val="0"/>
    <w:pPr>
      <w:tabs>
        <w:tab w:val="left" w:pos="7020"/>
      </w:tabs>
      <w:adjustRightInd w:val="0"/>
      <w:snapToGrid w:val="0"/>
      <w:spacing w:line="600" w:lineRule="exact"/>
      <w:ind w:firstLine="643"/>
      <w:jc w:val="center"/>
      <w:outlineLvl w:val="2"/>
    </w:pPr>
    <w:rPr>
      <w:rFonts w:ascii="宋体" w:hAnsi="宋体"/>
      <w:b/>
      <w:color w:val="FF0000"/>
      <w:sz w:val="32"/>
    </w:rPr>
  </w:style>
  <w:style w:type="paragraph" w:customStyle="1" w:styleId="38">
    <w:name w:val="⑨正文（武潇）"/>
    <w:basedOn w:val="16"/>
    <w:autoRedefine/>
    <w:qFormat/>
    <w:uiPriority w:val="0"/>
    <w:pPr>
      <w:autoSpaceDE w:val="0"/>
      <w:autoSpaceDN w:val="0"/>
      <w:adjustRightInd w:val="0"/>
      <w:snapToGrid w:val="0"/>
      <w:spacing w:after="0" w:line="360" w:lineRule="auto"/>
      <w:ind w:firstLine="200" w:firstLineChars="200"/>
    </w:pPr>
    <w:rPr>
      <w:bCs/>
      <w:sz w:val="28"/>
      <w:szCs w:val="28"/>
    </w:rPr>
  </w:style>
  <w:style w:type="paragraph" w:customStyle="1" w:styleId="39">
    <w:name w:val="正文26"/>
    <w:basedOn w:val="1"/>
    <w:autoRedefine/>
    <w:qFormat/>
    <w:uiPriority w:val="0"/>
    <w:pPr>
      <w:widowControl w:val="0"/>
      <w:overflowPunct w:val="0"/>
      <w:topLinePunct/>
      <w:snapToGrid w:val="0"/>
      <w:spacing w:line="520" w:lineRule="exact"/>
      <w:ind w:firstLine="482"/>
      <w:jc w:val="both"/>
    </w:pPr>
    <w:rPr>
      <w:rFonts w:cs="Times New Roman"/>
      <w:sz w:val="24"/>
      <w:szCs w:val="28"/>
    </w:rPr>
  </w:style>
  <w:style w:type="character" w:customStyle="1" w:styleId="40">
    <w:name w:val="正文部分 Char"/>
    <w:basedOn w:val="19"/>
    <w:link w:val="41"/>
    <w:autoRedefine/>
    <w:qFormat/>
    <w:uiPriority w:val="0"/>
    <w:rPr>
      <w:rFonts w:ascii="宋体" w:hAnsi="宋体" w:eastAsia="宋体" w:cs="宋体"/>
      <w:bCs/>
      <w:sz w:val="28"/>
      <w:szCs w:val="32"/>
    </w:rPr>
  </w:style>
  <w:style w:type="paragraph" w:customStyle="1" w:styleId="41">
    <w:name w:val="正文部分"/>
    <w:basedOn w:val="1"/>
    <w:link w:val="40"/>
    <w:autoRedefine/>
    <w:qFormat/>
    <w:uiPriority w:val="0"/>
    <w:pPr>
      <w:spacing w:line="500" w:lineRule="exact"/>
    </w:pPr>
    <w:rPr>
      <w:rFonts w:ascii="宋体" w:hAnsi="宋体" w:eastAsia="宋体" w:cs="宋体"/>
      <w:bCs/>
      <w:sz w:val="28"/>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49" textRotate="1"/>
    <customShpInfo spid="_x0000_s1039"/>
    <customShpInfo spid="_x0000_s1040"/>
    <customShpInfo spid="_x0000_s104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China</Company>
  <Pages>6</Pages>
  <Words>2406</Words>
  <Characters>2800</Characters>
  <Lines>8</Lines>
  <Paragraphs>2</Paragraphs>
  <TotalTime>1</TotalTime>
  <ScaleCrop>false</ScaleCrop>
  <LinksUpToDate>false</LinksUpToDate>
  <CharactersWithSpaces>2803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2017-06-21T08:13:00Z</dcterms:created>
  <dc:creator>1</dc:creator>
  <cp:lastModifiedBy>李轩</cp:lastModifiedBy>
  <cp:lastPrinted>2026-04-22T02:12:00Z</cp:lastPrinted>
  <dcterms:modified xsi:type="dcterms:W3CDTF">2026-07-30T09:28:08Z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6BFFC661348BB583E0713A69E3E014C7_43</vt:lpwstr>
  </property>
  <property fmtid="{D5CDD505-2E9C-101B-9397-08002B2CF9AE}" pid="4" name="KSOTemplateDocerSaveRecord">
    <vt:lpwstr>eyJoZGlkIjoiZjYzZGM4ZmUxMzQ5Y2YxODRiMGUwODg2YjRlMWE3MWIiLCJ1c2VySWQiOiI1MTQxNTEwMjgifQ==</vt:lpwstr>
  </property>
</Properties>
</file>