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136790">
      <w:pPr>
        <w:keepNext/>
        <w:keepLines/>
        <w:spacing w:line="360" w:lineRule="auto"/>
        <w:outlineLvl w:val="2"/>
        <w:rPr>
          <w:rFonts w:hint="eastAsia" w:ascii="黑体" w:hAnsi="黑体" w:eastAsia="黑体" w:cs="黑体"/>
          <w:color w:val="000000"/>
          <w:kern w:val="0"/>
          <w:sz w:val="28"/>
          <w:szCs w:val="28"/>
        </w:rPr>
      </w:pPr>
      <w:bookmarkStart w:id="0" w:name="_Toc213315328"/>
      <w:r>
        <w:rPr>
          <w:rFonts w:hint="eastAsia" w:ascii="黑体" w:hAnsi="黑体" w:eastAsia="黑体" w:cs="黑体"/>
          <w:color w:val="000000"/>
          <w:kern w:val="0"/>
          <w:sz w:val="28"/>
          <w:szCs w:val="28"/>
        </w:rPr>
        <w:t>附件1</w:t>
      </w:r>
    </w:p>
    <w:p w14:paraId="06F206D6">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2"/>
        <w:rPr>
          <w:rFonts w:hint="eastAsia" w:ascii="方正小标宋简体" w:hAnsi="方正小标宋简体" w:eastAsia="方正小标宋简体" w:cs="方正小标宋简体"/>
          <w:color w:val="000000"/>
          <w:kern w:val="0"/>
          <w:sz w:val="44"/>
          <w:szCs w:val="44"/>
        </w:rPr>
      </w:pPr>
      <w:r>
        <w:rPr>
          <w:rFonts w:hint="eastAsia" w:ascii="方正小标宋简体" w:hAnsi="方正小标宋简体" w:eastAsia="方正小标宋简体" w:cs="方正小标宋简体"/>
          <w:color w:val="000000"/>
          <w:kern w:val="0"/>
          <w:sz w:val="44"/>
          <w:szCs w:val="44"/>
        </w:rPr>
        <w:t>达拉特旗煤矿事故应急救援指挥部</w:t>
      </w:r>
    </w:p>
    <w:p w14:paraId="73280A05">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2"/>
        <w:rPr>
          <w:rFonts w:hint="eastAsia" w:ascii="方正小标宋简体" w:hAnsi="方正小标宋简体" w:eastAsia="方正小标宋简体" w:cs="方正小标宋简体"/>
          <w:color w:val="000000"/>
          <w:kern w:val="0"/>
          <w:sz w:val="44"/>
          <w:szCs w:val="44"/>
        </w:rPr>
      </w:pPr>
      <w:r>
        <w:rPr>
          <w:rFonts w:hint="eastAsia" w:ascii="方正小标宋简体" w:hAnsi="方正小标宋简体" w:eastAsia="方正小标宋简体" w:cs="方正小标宋简体"/>
          <w:color w:val="000000"/>
          <w:kern w:val="0"/>
          <w:sz w:val="44"/>
          <w:szCs w:val="44"/>
        </w:rPr>
        <w:t>各成员单位工作职责</w:t>
      </w:r>
      <w:bookmarkEnd w:id="0"/>
    </w:p>
    <w:p w14:paraId="34A197CE">
      <w:pPr>
        <w:spacing w:line="360" w:lineRule="auto"/>
        <w:rPr>
          <w:rFonts w:hint="eastAsia" w:ascii="仿宋" w:hAnsi="仿宋" w:eastAsia="仿宋" w:cs="Times New Roman"/>
          <w:color w:val="000000"/>
          <w:sz w:val="28"/>
          <w:szCs w:val="28"/>
        </w:rPr>
      </w:pPr>
    </w:p>
    <w:p w14:paraId="7E95F97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旗煤矿事故应急救援指挥部（下称旗指挥部）各成员单位应当切实提高政治站位，按照“三管三必须”（管行业必须管安全、管业务必须管安全、管生产经营必须管安全）要求开展事故救援，坚持预防为主，从源头上防范化解重大风险。 应急指挥部成员单位按照各自职责和业务范围，在专项指挥部的领导下，负责旗煤矿生产安全事故的预防和应对工作，职责分工如下：</w:t>
      </w:r>
    </w:p>
    <w:p w14:paraId="4D1DD18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1.旗人民政府办公室：负责协助旗人民政府领导处置事故，汇总上报事故信息，协调应急救援处置相关力量。</w:t>
      </w:r>
    </w:p>
    <w:p w14:paraId="15AD875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2.旗宣传部：负责组织事故应急救援宣传报道、新闻发布工作。组织相关新闻单位进行煤矿安全知识宣传。做好新闻媒体和互联网舆情信息的引导管理工作。</w:t>
      </w:r>
    </w:p>
    <w:p w14:paraId="0CFFB94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旗应急管理局：负责煤矿生产安全事故应急处置综合协调工作。调动全旗相关应急救援队伍、专家和应急物资参与事故处置。负责指导苏木镇人民政府（街道办事处）做好受灾群众转移安置工作。依法组织、指导事故调查处理工作。</w:t>
      </w:r>
    </w:p>
    <w:p w14:paraId="2CFFDD8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4.旗消防救援大队：负责开展事故抢险救援工作，扑救事故现场火灾，对现场失踪人员进行搜救。</w:t>
      </w:r>
    </w:p>
    <w:p w14:paraId="4401FBD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5.旗能源局：配合较大及以上煤矿事故应急救援；参与较大及以上煤矿事故的调查处理；完成旗指挥部交办的其它工作。</w:t>
      </w:r>
    </w:p>
    <w:p w14:paraId="79A25C8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6.旗工信和科技局：协调相关电信运营商做好应急情况下电讯系统设施、设备完好保障及事故应急救援期间救援系统通讯畅通无阻。</w:t>
      </w:r>
    </w:p>
    <w:p w14:paraId="6BAD806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7.旗财政局：负责按照职责分工，做好煤矿事故应急处置工作资金保障。</w:t>
      </w:r>
    </w:p>
    <w:p w14:paraId="2DEFCD9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8.旗交通运输局：负责事故状态下的公路交通运输保障；组织协调恢复道路、公路、桥梁等受损交通基础设施。</w:t>
      </w:r>
    </w:p>
    <w:p w14:paraId="67C77DC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9.旗公安局：组织事故可能危及区域内的人员疏散撤离。维护人员撤离区域及事故现场的社会秩序。</w:t>
      </w:r>
    </w:p>
    <w:p w14:paraId="536BC6E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10.旗气象局：负责为事故应急处置提供气象保障服务，提供事故现场或者现场附近的气象资料。</w:t>
      </w:r>
    </w:p>
    <w:p w14:paraId="58DA487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11.旗交管大队：负责事故现场区域周边道路交通管制工作，为应急抢险救援做好绿色通道保障。</w:t>
      </w:r>
    </w:p>
    <w:p w14:paraId="745F155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12.旗人力资源和社会保障局：负责事故伤亡人员工伤保险落实，指导工伤待遇劳动争议仲裁工作。</w:t>
      </w:r>
    </w:p>
    <w:p w14:paraId="318E8A5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13.旗民政局：负责对事故伤害群众进行社会救助保障工作，协同事发地苏木镇人民政府（街道办事处）承办旗应急指挥部交办的涉及社会救助工作的其他事项。</w:t>
      </w:r>
    </w:p>
    <w:p w14:paraId="0E7D942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14.旗卫生健康委员会：负责事故中受伤人员的现场医疗救治、转运、院内救治等工作。负责统计人员伤亡情况及医疗救治情况。</w:t>
      </w:r>
    </w:p>
    <w:p w14:paraId="715202E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15.市生态环境局达拉特分局：负责组织事故现场周边环境进行应急监测，提出控制措施的建议。对事故救援过程中可能导致的水体、土壤、大气等次生污染事故提出处置措施并监督实施；事故得到控制后，监督相关处置单位消除现场遗留的危险物质，防止环境污染。</w:t>
      </w:r>
    </w:p>
    <w:p w14:paraId="2D2BC5D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16.旗市场监督管理局：负责组织煤矿事故中与特种设备相关的事故调查处理和救援技术支持工作。</w:t>
      </w:r>
    </w:p>
    <w:p w14:paraId="21C3EE4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17.开发区（园区）管委会、苏木镇人民政府（街道办事处）：负责组织、协调、实施辖区内事故应急救援工作。负责建立完善辖区事故应急管理工作体制和机制，制定本辖区事故应急预案，做好辖区内安全防范及应急队伍、装备和物资的准备工作；配合有关部门做好事故抢险、人员疏散安置、交通管制、物资供应、善后处理等相关工作。</w:t>
      </w:r>
    </w:p>
    <w:p w14:paraId="06D73E3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18.鄂尔多斯市电业局达拉特供电分局</w:t>
      </w:r>
    </w:p>
    <w:p w14:paraId="18AF663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保障煤矿事故应急救援所需的电力供应。 </w:t>
      </w:r>
    </w:p>
    <w:p w14:paraId="31BFA3E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xml:space="preserve">19.武警达拉特旗中队 </w:t>
      </w:r>
    </w:p>
    <w:p w14:paraId="5E4967E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按照有关规定和程序，组织所属部队参加煤矿事故抢险救援工作。</w:t>
      </w:r>
    </w:p>
    <w:p w14:paraId="17699855">
      <w:pPr>
        <w:spacing w:line="360" w:lineRule="auto"/>
        <w:ind w:firstLine="560" w:firstLineChars="200"/>
        <w:rPr>
          <w:rFonts w:hint="eastAsia" w:ascii="仿宋" w:hAnsi="仿宋" w:eastAsia="仿宋" w:cs="Times New Roman"/>
          <w:color w:val="000000"/>
          <w:sz w:val="28"/>
          <w:szCs w:val="28"/>
        </w:rPr>
      </w:pPr>
      <w:r>
        <w:rPr>
          <w:rFonts w:ascii="Calibri" w:hAnsi="Calibri" w:eastAsia="仿宋" w:cs="Calibri"/>
          <w:color w:val="000000"/>
          <w:sz w:val="28"/>
          <w:szCs w:val="28"/>
        </w:rPr>
        <w:t> </w:t>
      </w:r>
    </w:p>
    <w:p w14:paraId="4B4BD515">
      <w:pPr>
        <w:spacing w:line="360" w:lineRule="auto"/>
        <w:ind w:firstLine="560" w:firstLineChars="200"/>
        <w:rPr>
          <w:rFonts w:hint="eastAsia" w:ascii="仿宋" w:hAnsi="仿宋" w:eastAsia="仿宋" w:cs="Times New Roman"/>
          <w:color w:val="000000"/>
          <w:sz w:val="28"/>
          <w:szCs w:val="28"/>
        </w:rPr>
      </w:pPr>
      <w:r>
        <w:rPr>
          <w:rFonts w:hint="eastAsia" w:ascii="仿宋" w:hAnsi="仿宋" w:eastAsia="仿宋" w:cs="Times New Roman"/>
          <w:color w:val="000000"/>
          <w:sz w:val="28"/>
          <w:szCs w:val="28"/>
        </w:rPr>
        <w:br w:type="page"/>
      </w:r>
    </w:p>
    <w:p w14:paraId="77749ED1">
      <w:pPr>
        <w:keepNext/>
        <w:keepLines/>
        <w:spacing w:line="360" w:lineRule="auto"/>
        <w:outlineLvl w:val="2"/>
        <w:rPr>
          <w:rFonts w:hint="eastAsia" w:ascii="黑体" w:hAnsi="黑体" w:eastAsia="黑体" w:cs="黑体"/>
          <w:color w:val="000000"/>
          <w:kern w:val="0"/>
          <w:sz w:val="28"/>
          <w:szCs w:val="28"/>
        </w:rPr>
      </w:pPr>
      <w:bookmarkStart w:id="1" w:name="_Toc213315329"/>
      <w:r>
        <w:rPr>
          <w:rFonts w:hint="eastAsia" w:ascii="黑体" w:hAnsi="黑体" w:eastAsia="黑体" w:cs="黑体"/>
          <w:color w:val="000000"/>
          <w:kern w:val="0"/>
          <w:sz w:val="28"/>
          <w:szCs w:val="28"/>
        </w:rPr>
        <w:t>附件2</w:t>
      </w:r>
    </w:p>
    <w:p w14:paraId="1FE304B3">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2"/>
        <w:rPr>
          <w:rFonts w:hint="eastAsia" w:ascii="方正小标宋简体" w:hAnsi="方正小标宋简体" w:eastAsia="方正小标宋简体" w:cs="方正小标宋简体"/>
          <w:color w:val="000000"/>
          <w:kern w:val="0"/>
          <w:sz w:val="44"/>
          <w:szCs w:val="44"/>
        </w:rPr>
      </w:pPr>
      <w:r>
        <w:rPr>
          <w:rFonts w:hint="eastAsia" w:ascii="方正小标宋简体" w:hAnsi="方正小标宋简体" w:eastAsia="方正小标宋简体" w:cs="方正小标宋简体"/>
          <w:color w:val="000000"/>
          <w:kern w:val="0"/>
          <w:sz w:val="44"/>
          <w:szCs w:val="44"/>
        </w:rPr>
        <w:t>达拉特旗煤矿事故应急救援现场指挥部</w:t>
      </w:r>
    </w:p>
    <w:p w14:paraId="155D9223">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2"/>
        <w:rPr>
          <w:rFonts w:hint="eastAsia" w:ascii="方正小标宋简体" w:hAnsi="方正小标宋简体" w:eastAsia="方正小标宋简体" w:cs="方正小标宋简体"/>
          <w:color w:val="000000"/>
          <w:kern w:val="0"/>
          <w:sz w:val="44"/>
          <w:szCs w:val="44"/>
        </w:rPr>
      </w:pPr>
      <w:r>
        <w:rPr>
          <w:rFonts w:hint="eastAsia" w:ascii="方正小标宋简体" w:hAnsi="方正小标宋简体" w:eastAsia="方正小标宋简体" w:cs="方正小标宋简体"/>
          <w:color w:val="000000"/>
          <w:kern w:val="0"/>
          <w:sz w:val="44"/>
          <w:szCs w:val="44"/>
        </w:rPr>
        <w:t>各工作组职责</w:t>
      </w:r>
      <w:bookmarkEnd w:id="1"/>
    </w:p>
    <w:p w14:paraId="7DFD65D6">
      <w:pPr>
        <w:spacing w:line="360" w:lineRule="auto"/>
        <w:ind w:firstLine="560" w:firstLineChars="200"/>
        <w:rPr>
          <w:rFonts w:hint="eastAsia" w:ascii="仿宋" w:hAnsi="仿宋" w:eastAsia="仿宋" w:cs="Times New Roman"/>
          <w:color w:val="000000"/>
          <w:sz w:val="28"/>
          <w:szCs w:val="28"/>
        </w:rPr>
      </w:pPr>
    </w:p>
    <w:p w14:paraId="7DD87383">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旗现场指挥部下设综合协调、抢险救援、技术保障、医疗救护、治安维稳、舆论宣传、应急物资保障、善后处置和事故调查9个工作组，具体职责如下。 </w:t>
      </w:r>
    </w:p>
    <w:p w14:paraId="40BDCEF4">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1.综合协调组 </w:t>
      </w:r>
    </w:p>
    <w:p w14:paraId="18E4C1F5">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组长由现场指挥部副总指挥担任，成员由旗应急管理局（矿山安全监管局）、旗能源局、国家矿山安全监察局内蒙古局驻地监察执法处、旗人民政府及相关部门单位负责人担任。 </w:t>
      </w:r>
    </w:p>
    <w:p w14:paraId="58EA8764">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主要职责：负责收集、汇总、报送险情和应急救援动态信息，承办现场指挥部文秘、会务、协调、服务、督办等工作，完成现场指挥部交办的其它任务。 </w:t>
      </w:r>
    </w:p>
    <w:p w14:paraId="2998D7BE">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2.抢险救援组 </w:t>
      </w:r>
    </w:p>
    <w:p w14:paraId="1821B6FA">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旗应急管理局（矿山安全监管局）、旗能源局，国家矿山安全监察局内蒙古局驻地监察执法处、旗消防救援大队、旗人民政府和相关部门单位及事故单位等参加。 </w:t>
      </w:r>
    </w:p>
    <w:p w14:paraId="26A32E76">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主要职责：负责事故现场应急救援指挥协调工作，及时处理突发灾变，具体实施技术保障组制定的抢险救援方案和措施。 </w:t>
      </w:r>
    </w:p>
    <w:p w14:paraId="133F0478">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3.技术保障组 </w:t>
      </w:r>
    </w:p>
    <w:p w14:paraId="0CA2EE1B">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旗应急管理局（矿山安全监管局）、旗能源局、旗自然资源局、旗水利局、国家矿山安全监察局内蒙古局驻地监察执法处、旗气象局、旗地震局、市生态环境局达拉特分局相关专家、旗人民政府和相关部门单位及事故单位等参加。 </w:t>
      </w:r>
    </w:p>
    <w:p w14:paraId="1B68C988">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主要职责：负责汇总事故单位和抢险救灾有关图纸、技术资料，研究制定应急救援技术方案和措施，掌握、研判险情，解决事故救援过程中遇到的技术难题；负责为救援提供气象监测和预报；提出防范事故扩大和次生、衍生事故的措施建议；负责事故现场空气和水域水质检测及预警处理。 </w:t>
      </w:r>
    </w:p>
    <w:p w14:paraId="5B020DD6">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4.医疗救护组 </w:t>
      </w:r>
    </w:p>
    <w:p w14:paraId="7B02DD04">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由旗卫生健康委员会牵头，旗人民政府和有关医疗机构及事故单位参加。 </w:t>
      </w:r>
    </w:p>
    <w:p w14:paraId="538F2139">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主要职责：负责组织协调救护车、医疗专家和卫生应急队伍开展急救、转运、救治和现场卫生防疫工作。参与被困人员存活情况研判。 </w:t>
      </w:r>
    </w:p>
    <w:p w14:paraId="7967EDA8">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5.治安维稳组 </w:t>
      </w:r>
    </w:p>
    <w:p w14:paraId="05F039B6">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由旗公安局牵头，旗人民政府和公安机关、武警达拉特旗中队、旗交管大队、事故单位参加。 </w:t>
      </w:r>
    </w:p>
    <w:p w14:paraId="5DDC92DB">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主要职责：负责封闭、警戒、控制、保护煤矿事故现场及周边区域；维护事故发生单位治安和救援现场工作秩序；疏散转移现场和周边受威胁区域人员；事故现场交通管制，开辟专用通道供应急救援车辆和救援人员通行；依法控制事故相关责任人。 </w:t>
      </w:r>
    </w:p>
    <w:p w14:paraId="4FFE86BF">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6.舆论宣传组 </w:t>
      </w:r>
    </w:p>
    <w:p w14:paraId="155E59D6">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由旗委宣传部牵头，旗委网络安全和信息化委员会办公室、旗工信和科技局、旗应急管理局（矿山安全监管局）、旗能源局，旗人民政府和宣传部门参加。 </w:t>
      </w:r>
    </w:p>
    <w:p w14:paraId="4C0849AE">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主要职责：负责组织信息发布、新闻报道、舆情引导、媒体服务管理和舆情管控等工作。 </w:t>
      </w:r>
    </w:p>
    <w:p w14:paraId="14933E04">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7.应急物资保障组 </w:t>
      </w:r>
    </w:p>
    <w:p w14:paraId="0049BDDB">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由旗人民政府牵头，旗应急管理局（矿山安全监管局）、旗交通运输局、旗通信管理办公室、鄂尔多斯市电业局达拉特供电分局和事故发生地相关部门单位及事故单位参加。 </w:t>
      </w:r>
    </w:p>
    <w:p w14:paraId="64286E69">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主要职责：负责联系、采购、供应抢险救灾物资、设备，救援车辆及油料的调配；为救援人员提供食宿保障；为救灾人员提供临时安置场所；电力企业保证现场电力供应；协调通信企业负责救援现场通信保障；现场救援物资、设备的存放和保管；开辟应急救援通道，保证救援物资、车辆畅通，对损坏道路进行抢修、维护。 </w:t>
      </w:r>
    </w:p>
    <w:p w14:paraId="455F91E8">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8.善后处置组 </w:t>
      </w:r>
    </w:p>
    <w:p w14:paraId="016DC933">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由旗人民政府牵头，旗应急管理局（矿山安全监管局）、旗公安局、旗民政局、旗财政局、旗市场监督管理局、旗人力资源和社会保障局，属地苏木镇人民政府（街道办事处）、开发区（园区）管委会和煤矿事故发生地相关部门单位及事故单位参加。 </w:t>
      </w:r>
    </w:p>
    <w:p w14:paraId="186D685D">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主要职责：负责做好伤亡人员家属安抚、补偿和保险理赔；恢复受影响区域正常的生产、生活秩序。 </w:t>
      </w:r>
    </w:p>
    <w:p w14:paraId="1DEF5D16">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9.事故调查组 </w:t>
      </w:r>
    </w:p>
    <w:p w14:paraId="562A218D">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重大及以下事故调查由国家矿山安全监察局内蒙古局牵头，属地人民政府配合，按照国家事故调查有关规定成立事故调查组。 </w:t>
      </w:r>
    </w:p>
    <w:p w14:paraId="57C965F3">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主要职责：负责对煤矿事故发生原因和过程进行全面调查，提出责任处理意见，提交调查报告。 </w:t>
      </w:r>
    </w:p>
    <w:p w14:paraId="483EFA25">
      <w:pPr>
        <w:widowControl/>
        <w:jc w:val="left"/>
        <w:rPr>
          <w:rFonts w:hint="eastAsia" w:ascii="仿宋" w:hAnsi="仿宋" w:eastAsia="仿宋" w:cs="Times New Roman"/>
          <w:color w:val="000000"/>
          <w:sz w:val="28"/>
          <w:szCs w:val="28"/>
        </w:rPr>
      </w:pPr>
      <w:r>
        <w:rPr>
          <w:rFonts w:hint="eastAsia" w:ascii="仿宋" w:hAnsi="仿宋" w:eastAsia="仿宋" w:cs="Times New Roman"/>
          <w:color w:val="000000"/>
          <w:sz w:val="28"/>
          <w:szCs w:val="28"/>
        </w:rPr>
        <w:br w:type="page"/>
      </w:r>
    </w:p>
    <w:p w14:paraId="0D51EE64">
      <w:pPr>
        <w:keepNext/>
        <w:keepLines/>
        <w:spacing w:line="360" w:lineRule="auto"/>
        <w:ind w:firstLine="560" w:firstLineChars="200"/>
        <w:outlineLvl w:val="2"/>
        <w:rPr>
          <w:rFonts w:hint="eastAsia" w:ascii="仿宋" w:hAnsi="仿宋" w:eastAsia="仿宋" w:cs="Times New Roman"/>
          <w:color w:val="000000"/>
          <w:kern w:val="0"/>
          <w:sz w:val="28"/>
          <w:szCs w:val="28"/>
        </w:rPr>
        <w:sectPr>
          <w:footerReference r:id="rId3" w:type="default"/>
          <w:pgSz w:w="11906" w:h="16838"/>
          <w:pgMar w:top="2098" w:right="1474" w:bottom="1984" w:left="1587" w:header="851" w:footer="1474" w:gutter="0"/>
          <w:pgNumType w:fmt="decimal" w:start="1"/>
          <w:cols w:space="425" w:num="1"/>
          <w:docGrid w:type="lines" w:linePitch="312" w:charSpace="0"/>
        </w:sectPr>
      </w:pPr>
      <w:bookmarkStart w:id="2" w:name="_Toc136338331"/>
    </w:p>
    <w:p w14:paraId="4DD9F20D">
      <w:pPr>
        <w:keepNext/>
        <w:keepLines/>
        <w:spacing w:line="360" w:lineRule="auto"/>
        <w:outlineLvl w:val="2"/>
        <w:rPr>
          <w:rFonts w:hint="eastAsia" w:ascii="黑体" w:hAnsi="黑体" w:eastAsia="黑体" w:cs="黑体"/>
          <w:color w:val="000000"/>
          <w:kern w:val="0"/>
          <w:sz w:val="28"/>
          <w:szCs w:val="28"/>
        </w:rPr>
      </w:pPr>
      <w:bookmarkStart w:id="3" w:name="_Toc213315330"/>
      <w:r>
        <w:rPr>
          <w:rFonts w:hint="eastAsia" w:ascii="黑体" w:hAnsi="黑体" w:eastAsia="黑体" w:cs="黑体"/>
          <w:color w:val="000000"/>
          <w:kern w:val="0"/>
          <w:sz w:val="28"/>
          <w:szCs w:val="28"/>
        </w:rPr>
        <w:t xml:space="preserve">附件3  </w:t>
      </w:r>
    </w:p>
    <w:p w14:paraId="53CA7F61">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2"/>
        <w:rPr>
          <w:rFonts w:hint="eastAsia" w:ascii="方正小标宋简体" w:hAnsi="方正小标宋简体" w:eastAsia="方正小标宋简体" w:cs="方正小标宋简体"/>
          <w:color w:val="000000"/>
          <w:kern w:val="0"/>
          <w:sz w:val="44"/>
          <w:szCs w:val="44"/>
        </w:rPr>
      </w:pPr>
      <w:r>
        <w:rPr>
          <w:rFonts w:hint="eastAsia" w:ascii="方正小标宋简体" w:hAnsi="方正小标宋简体" w:eastAsia="方正小标宋简体" w:cs="方正小标宋简体"/>
          <w:color w:val="000000"/>
          <w:kern w:val="0"/>
          <w:sz w:val="44"/>
          <w:szCs w:val="44"/>
        </w:rPr>
        <w:t>达拉特旗煤矿应急指挥体系框架图</w:t>
      </w:r>
    </w:p>
    <w:bookmarkEnd w:id="2"/>
    <w:bookmarkEnd w:id="3"/>
    <w:p w14:paraId="75C8F255">
      <w:pPr>
        <w:keepNext/>
        <w:keepLines/>
        <w:spacing w:line="360" w:lineRule="auto"/>
        <w:ind w:firstLine="560" w:firstLineChars="200"/>
        <w:outlineLvl w:val="2"/>
        <w:rPr>
          <w:rFonts w:hint="eastAsia" w:ascii="仿宋" w:hAnsi="仿宋" w:eastAsia="仿宋" w:cs="Times New Roman"/>
          <w:color w:val="000000"/>
          <w:kern w:val="0"/>
          <w:sz w:val="28"/>
          <w:szCs w:val="28"/>
          <w:lang w:eastAsia="zh-CN"/>
        </w:rPr>
      </w:pPr>
      <w:r>
        <w:rPr>
          <w:rFonts w:hint="eastAsia" w:ascii="仿宋" w:hAnsi="仿宋" w:eastAsia="仿宋" w:cs="Times New Roman"/>
          <w:color w:val="000000"/>
          <w:kern w:val="0"/>
          <w:sz w:val="28"/>
          <w:szCs w:val="28"/>
          <w:lang w:eastAsia="zh-CN"/>
        </w:rPr>
        <w:drawing>
          <wp:inline distT="0" distB="0" distL="114300" distR="114300">
            <wp:extent cx="4652010" cy="7409815"/>
            <wp:effectExtent l="0" t="0" r="0" b="635"/>
            <wp:docPr id="9" name="图片 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1"/>
                    <pic:cNvPicPr>
                      <a:picLocks noChangeAspect="1"/>
                    </pic:cNvPicPr>
                  </pic:nvPicPr>
                  <pic:blipFill>
                    <a:blip r:embed="rId6"/>
                    <a:stretch>
                      <a:fillRect/>
                    </a:stretch>
                  </pic:blipFill>
                  <pic:spPr>
                    <a:xfrm>
                      <a:off x="0" y="0"/>
                      <a:ext cx="4652010" cy="7409815"/>
                    </a:xfrm>
                    <a:prstGeom prst="rect">
                      <a:avLst/>
                    </a:prstGeom>
                  </pic:spPr>
                </pic:pic>
              </a:graphicData>
            </a:graphic>
          </wp:inline>
        </w:drawing>
      </w:r>
    </w:p>
    <w:p w14:paraId="22213C0D">
      <w:pPr>
        <w:keepNext/>
        <w:keepLines/>
        <w:spacing w:line="360" w:lineRule="auto"/>
        <w:ind w:firstLine="560" w:firstLineChars="200"/>
        <w:outlineLvl w:val="2"/>
        <w:rPr>
          <w:rFonts w:hint="eastAsia" w:ascii="仿宋" w:hAnsi="仿宋" w:eastAsia="仿宋" w:cs="Times New Roman"/>
          <w:color w:val="000000"/>
          <w:kern w:val="0"/>
          <w:sz w:val="28"/>
          <w:szCs w:val="28"/>
        </w:rPr>
      </w:pPr>
    </w:p>
    <w:p w14:paraId="749AE90C">
      <w:pPr>
        <w:spacing w:after="120"/>
        <w:rPr>
          <w:rFonts w:ascii="Times New Roman" w:hAnsi="Times New Roman" w:eastAsia="黑体" w:cs="Times New Roman"/>
          <w:color w:val="000000"/>
          <w:sz w:val="32"/>
          <w:szCs w:val="32"/>
        </w:rPr>
        <w:sectPr>
          <w:pgSz w:w="11906" w:h="16838"/>
          <w:pgMar w:top="1440" w:right="1800" w:bottom="1440" w:left="1800" w:header="851" w:footer="992" w:gutter="0"/>
          <w:pgNumType w:fmt="decimal"/>
          <w:cols w:space="425" w:num="1"/>
          <w:docGrid w:type="lines" w:linePitch="312" w:charSpace="0"/>
        </w:sectPr>
      </w:pPr>
    </w:p>
    <w:p w14:paraId="6EE6B081">
      <w:pPr>
        <w:keepNext/>
        <w:keepLines/>
        <w:spacing w:line="360" w:lineRule="auto"/>
        <w:outlineLvl w:val="2"/>
        <w:rPr>
          <w:rFonts w:hint="eastAsia" w:ascii="黑体" w:hAnsi="黑体" w:eastAsia="黑体" w:cs="黑体"/>
          <w:color w:val="000000"/>
          <w:kern w:val="0"/>
          <w:sz w:val="28"/>
          <w:szCs w:val="28"/>
        </w:rPr>
      </w:pPr>
      <w:bookmarkStart w:id="4" w:name="_Toc213315331"/>
      <w:bookmarkStart w:id="5" w:name="_Toc136338332"/>
      <w:r>
        <w:rPr>
          <w:rFonts w:hint="eastAsia" w:ascii="黑体" w:hAnsi="黑体" w:eastAsia="黑体" w:cs="黑体"/>
          <w:color w:val="000000"/>
          <w:kern w:val="0"/>
          <w:sz w:val="28"/>
          <w:szCs w:val="28"/>
        </w:rPr>
        <w:t xml:space="preserve">附件4  </w:t>
      </w:r>
    </w:p>
    <w:p w14:paraId="1E4DFB3A">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2"/>
        <w:rPr>
          <w:rFonts w:hint="eastAsia" w:ascii="方正小标宋简体" w:hAnsi="方正小标宋简体" w:eastAsia="方正小标宋简体" w:cs="方正小标宋简体"/>
          <w:color w:val="000000"/>
          <w:kern w:val="0"/>
          <w:sz w:val="44"/>
          <w:szCs w:val="44"/>
        </w:rPr>
      </w:pPr>
      <w:r>
        <w:rPr>
          <w:rFonts w:hint="eastAsia" w:ascii="方正小标宋简体" w:hAnsi="方正小标宋简体" w:eastAsia="方正小标宋简体" w:cs="方正小标宋简体"/>
          <w:color w:val="000000"/>
          <w:kern w:val="0"/>
          <w:sz w:val="44"/>
          <w:szCs w:val="44"/>
        </w:rPr>
        <w:t>达拉特旗煤矿事故应急预案流程图</w:t>
      </w:r>
      <w:bookmarkEnd w:id="4"/>
      <w:bookmarkEnd w:id="5"/>
    </w:p>
    <w:p w14:paraId="064C7507">
      <w:pPr>
        <w:spacing w:after="120"/>
        <w:jc w:val="left"/>
        <w:rPr>
          <w:rFonts w:ascii="Times New Roman" w:hAnsi="Times New Roman" w:eastAsia="黑体" w:cs="Times New Roman"/>
          <w:color w:val="000000"/>
          <w:sz w:val="32"/>
          <w:szCs w:val="32"/>
        </w:rPr>
      </w:pPr>
      <w:r>
        <w:rPr>
          <w:rFonts w:ascii="等线" w:hAnsi="等线" w:eastAsia="等线" w:cs="Times New Roman"/>
          <w:color w:val="000000"/>
          <w:szCs w:val="22"/>
        </w:rPr>
        <w:drawing>
          <wp:inline distT="0" distB="0" distL="0" distR="0">
            <wp:extent cx="5274310" cy="7103745"/>
            <wp:effectExtent l="0" t="0" r="2540" b="1905"/>
            <wp:docPr id="4364921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492123" name="图片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4310" cy="7103745"/>
                    </a:xfrm>
                    <a:prstGeom prst="rect">
                      <a:avLst/>
                    </a:prstGeom>
                    <a:noFill/>
                    <a:ln>
                      <a:noFill/>
                    </a:ln>
                  </pic:spPr>
                </pic:pic>
              </a:graphicData>
            </a:graphic>
          </wp:inline>
        </w:drawing>
      </w:r>
    </w:p>
    <w:p w14:paraId="11B4BD15">
      <w:pPr>
        <w:spacing w:after="120"/>
        <w:jc w:val="left"/>
        <w:rPr>
          <w:rFonts w:ascii="Times New Roman" w:hAnsi="Times New Roman" w:eastAsia="黑体" w:cs="Times New Roman"/>
          <w:color w:val="000000"/>
          <w:sz w:val="32"/>
          <w:szCs w:val="32"/>
        </w:rPr>
      </w:pPr>
    </w:p>
    <w:p w14:paraId="1EE155DA">
      <w:pPr>
        <w:spacing w:after="120"/>
        <w:jc w:val="left"/>
        <w:rPr>
          <w:rFonts w:ascii="Times New Roman" w:hAnsi="Times New Roman" w:eastAsia="黑体" w:cs="Times New Roman"/>
          <w:color w:val="000000"/>
          <w:sz w:val="32"/>
          <w:szCs w:val="32"/>
        </w:rPr>
      </w:pPr>
    </w:p>
    <w:p w14:paraId="094D0CFB">
      <w:pPr>
        <w:keepNext/>
        <w:keepLines/>
        <w:spacing w:line="560" w:lineRule="exact"/>
        <w:ind w:firstLine="640" w:firstLineChars="200"/>
        <w:jc w:val="left"/>
        <w:outlineLvl w:val="0"/>
        <w:rPr>
          <w:rFonts w:ascii="Times New Roman" w:hAnsi="Times New Roman" w:eastAsia="黑体" w:cs="Times New Roman"/>
          <w:color w:val="000000"/>
          <w:sz w:val="32"/>
          <w:szCs w:val="32"/>
        </w:rPr>
        <w:sectPr>
          <w:pgSz w:w="11906" w:h="16838"/>
          <w:pgMar w:top="1440" w:right="1800" w:bottom="1440" w:left="1800" w:header="851" w:footer="992" w:gutter="0"/>
          <w:pgNumType w:fmt="decimal"/>
          <w:cols w:space="425" w:num="1"/>
          <w:docGrid w:type="lines" w:linePitch="312" w:charSpace="0"/>
        </w:sectPr>
      </w:pPr>
    </w:p>
    <w:p w14:paraId="47019085">
      <w:pPr>
        <w:keepNext/>
        <w:keepLines/>
        <w:spacing w:line="360" w:lineRule="auto"/>
        <w:outlineLvl w:val="2"/>
        <w:rPr>
          <w:rFonts w:hint="eastAsia" w:ascii="黑体" w:hAnsi="黑体" w:eastAsia="黑体" w:cs="黑体"/>
          <w:color w:val="000000"/>
          <w:kern w:val="0"/>
          <w:sz w:val="28"/>
          <w:szCs w:val="28"/>
        </w:rPr>
      </w:pPr>
      <w:bookmarkStart w:id="6" w:name="_Toc136338334"/>
      <w:bookmarkStart w:id="7" w:name="_Toc213315332"/>
      <w:r>
        <w:rPr>
          <w:rFonts w:hint="eastAsia" w:ascii="黑体" w:hAnsi="黑体" w:eastAsia="黑体" w:cs="黑体"/>
          <w:color w:val="000000"/>
          <w:kern w:val="0"/>
          <w:sz w:val="28"/>
          <w:szCs w:val="28"/>
        </w:rPr>
        <w:t>附件</w:t>
      </w:r>
      <w:bookmarkEnd w:id="6"/>
      <w:r>
        <w:rPr>
          <w:rFonts w:hint="eastAsia" w:ascii="黑体" w:hAnsi="黑体" w:eastAsia="黑体" w:cs="黑体"/>
          <w:color w:val="000000"/>
          <w:kern w:val="0"/>
          <w:sz w:val="28"/>
          <w:szCs w:val="28"/>
        </w:rPr>
        <w:t xml:space="preserve">5  </w:t>
      </w:r>
    </w:p>
    <w:p w14:paraId="31623FB8">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2"/>
        <w:rPr>
          <w:rFonts w:hint="eastAsia" w:ascii="方正小标宋简体" w:hAnsi="方正小标宋简体" w:eastAsia="方正小标宋简体" w:cs="方正小标宋简体"/>
          <w:color w:val="000000"/>
          <w:kern w:val="0"/>
          <w:sz w:val="44"/>
          <w:szCs w:val="44"/>
        </w:rPr>
      </w:pPr>
      <w:r>
        <w:rPr>
          <w:rFonts w:hint="eastAsia" w:ascii="方正小标宋简体" w:hAnsi="方正小标宋简体" w:eastAsia="方正小标宋简体" w:cs="方正小标宋简体"/>
          <w:color w:val="000000"/>
          <w:kern w:val="0"/>
          <w:sz w:val="44"/>
          <w:szCs w:val="44"/>
        </w:rPr>
        <w:t>达拉特旗煤矿应急救援队伍名单</w:t>
      </w:r>
      <w:bookmarkEnd w:id="7"/>
    </w:p>
    <w:tbl>
      <w:tblPr>
        <w:tblStyle w:val="4"/>
        <w:tblW w:w="5008" w:type="pct"/>
        <w:tblInd w:w="0" w:type="dxa"/>
        <w:shd w:val="clear" w:color="auto" w:fill="FFFFFF"/>
        <w:tblLayout w:type="autofit"/>
        <w:tblCellMar>
          <w:top w:w="15" w:type="dxa"/>
          <w:left w:w="15" w:type="dxa"/>
          <w:bottom w:w="15" w:type="dxa"/>
          <w:right w:w="15" w:type="dxa"/>
        </w:tblCellMar>
      </w:tblPr>
      <w:tblGrid>
        <w:gridCol w:w="617"/>
        <w:gridCol w:w="1033"/>
        <w:gridCol w:w="5228"/>
        <w:gridCol w:w="1658"/>
      </w:tblGrid>
      <w:tr w14:paraId="3C47E959">
        <w:tblPrEx>
          <w:tblCellMar>
            <w:top w:w="15" w:type="dxa"/>
            <w:left w:w="15" w:type="dxa"/>
            <w:bottom w:w="15" w:type="dxa"/>
            <w:right w:w="15" w:type="dxa"/>
          </w:tblCellMar>
        </w:tblPrEx>
        <w:trPr>
          <w:trHeight w:val="866" w:hRule="atLeast"/>
        </w:trPr>
        <w:tc>
          <w:tcPr>
            <w:tcW w:w="361" w:type="pct"/>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14:paraId="7DE102CD">
            <w:pPr>
              <w:autoSpaceDE w:val="0"/>
              <w:autoSpaceDN w:val="0"/>
              <w:jc w:val="center"/>
              <w:rPr>
                <w:rFonts w:hint="eastAsia" w:ascii="仿宋_GB2312" w:hAnsi="仿宋_GB2312" w:eastAsia="仿宋_GB2312" w:cs="仿宋_GB2312"/>
                <w:b/>
                <w:bCs/>
                <w:color w:val="000000"/>
                <w:kern w:val="0"/>
                <w:sz w:val="24"/>
                <w:szCs w:val="24"/>
                <w:lang w:eastAsia="en-US"/>
              </w:rPr>
            </w:pPr>
            <w:r>
              <w:rPr>
                <w:rFonts w:hint="eastAsia" w:ascii="仿宋_GB2312" w:hAnsi="仿宋_GB2312" w:eastAsia="仿宋_GB2312" w:cs="仿宋_GB2312"/>
                <w:b/>
                <w:bCs/>
                <w:color w:val="000000"/>
                <w:kern w:val="0"/>
                <w:sz w:val="24"/>
                <w:szCs w:val="24"/>
                <w:lang w:eastAsia="en-US"/>
              </w:rPr>
              <w:t>序号</w:t>
            </w:r>
          </w:p>
        </w:tc>
        <w:tc>
          <w:tcPr>
            <w:tcW w:w="605" w:type="pct"/>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14:paraId="173A42DA">
            <w:pPr>
              <w:autoSpaceDE w:val="0"/>
              <w:autoSpaceDN w:val="0"/>
              <w:jc w:val="center"/>
              <w:rPr>
                <w:rFonts w:hint="eastAsia" w:ascii="仿宋_GB2312" w:hAnsi="仿宋_GB2312" w:eastAsia="仿宋_GB2312" w:cs="仿宋_GB2312"/>
                <w:b/>
                <w:bCs/>
                <w:color w:val="000000"/>
                <w:kern w:val="0"/>
                <w:sz w:val="24"/>
                <w:szCs w:val="24"/>
                <w:lang w:eastAsia="en-US"/>
              </w:rPr>
            </w:pPr>
            <w:r>
              <w:rPr>
                <w:rFonts w:hint="eastAsia" w:ascii="仿宋_GB2312" w:hAnsi="仿宋_GB2312" w:eastAsia="仿宋_GB2312" w:cs="仿宋_GB2312"/>
                <w:b/>
                <w:bCs/>
                <w:color w:val="000000"/>
                <w:kern w:val="0"/>
                <w:sz w:val="24"/>
                <w:szCs w:val="24"/>
                <w:lang w:eastAsia="en-US"/>
              </w:rPr>
              <w:t>所在地</w:t>
            </w:r>
          </w:p>
        </w:tc>
        <w:tc>
          <w:tcPr>
            <w:tcW w:w="3061" w:type="pct"/>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14:paraId="7E664736">
            <w:pPr>
              <w:autoSpaceDE w:val="0"/>
              <w:autoSpaceDN w:val="0"/>
              <w:jc w:val="center"/>
              <w:rPr>
                <w:rFonts w:hint="eastAsia" w:ascii="仿宋_GB2312" w:hAnsi="仿宋_GB2312" w:eastAsia="仿宋_GB2312" w:cs="仿宋_GB2312"/>
                <w:b/>
                <w:bCs/>
                <w:color w:val="000000"/>
                <w:kern w:val="0"/>
                <w:sz w:val="24"/>
                <w:szCs w:val="24"/>
                <w:lang w:eastAsia="en-US"/>
              </w:rPr>
            </w:pPr>
            <w:r>
              <w:rPr>
                <w:rFonts w:hint="eastAsia" w:ascii="仿宋_GB2312" w:hAnsi="仿宋_GB2312" w:eastAsia="仿宋_GB2312" w:cs="仿宋_GB2312"/>
                <w:b/>
                <w:bCs/>
                <w:color w:val="000000"/>
                <w:kern w:val="0"/>
                <w:sz w:val="24"/>
                <w:szCs w:val="24"/>
                <w:lang w:eastAsia="en-US"/>
              </w:rPr>
              <w:t>救护队伍名称</w:t>
            </w:r>
          </w:p>
        </w:tc>
        <w:tc>
          <w:tcPr>
            <w:tcW w:w="971" w:type="pct"/>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14:paraId="5146C432">
            <w:pPr>
              <w:autoSpaceDE w:val="0"/>
              <w:autoSpaceDN w:val="0"/>
              <w:jc w:val="center"/>
              <w:rPr>
                <w:rFonts w:hint="eastAsia" w:ascii="仿宋_GB2312" w:hAnsi="仿宋_GB2312" w:eastAsia="仿宋_GB2312" w:cs="仿宋_GB2312"/>
                <w:b/>
                <w:bCs/>
                <w:color w:val="000000"/>
                <w:kern w:val="0"/>
                <w:sz w:val="24"/>
                <w:szCs w:val="24"/>
                <w:lang w:eastAsia="en-US"/>
              </w:rPr>
            </w:pPr>
            <w:r>
              <w:rPr>
                <w:rFonts w:hint="eastAsia" w:ascii="仿宋_GB2312" w:hAnsi="仿宋_GB2312" w:eastAsia="仿宋_GB2312" w:cs="仿宋_GB2312"/>
                <w:b/>
                <w:bCs/>
                <w:color w:val="000000"/>
                <w:kern w:val="0"/>
                <w:sz w:val="24"/>
                <w:szCs w:val="24"/>
                <w:lang w:eastAsia="en-US"/>
              </w:rPr>
              <w:t>值班电话</w:t>
            </w:r>
          </w:p>
        </w:tc>
      </w:tr>
      <w:tr w14:paraId="2018823F">
        <w:tblPrEx>
          <w:tblCellMar>
            <w:top w:w="15" w:type="dxa"/>
            <w:left w:w="15" w:type="dxa"/>
            <w:bottom w:w="15" w:type="dxa"/>
            <w:right w:w="15" w:type="dxa"/>
          </w:tblCellMar>
        </w:tblPrEx>
        <w:trPr>
          <w:trHeight w:val="446" w:hRule="atLeast"/>
        </w:trPr>
        <w:tc>
          <w:tcPr>
            <w:tcW w:w="361" w:type="pct"/>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14:paraId="74E50428">
            <w:pPr>
              <w:autoSpaceDE w:val="0"/>
              <w:autoSpaceDN w:val="0"/>
              <w:jc w:val="center"/>
              <w:rPr>
                <w:rFonts w:hint="eastAsia" w:ascii="仿宋_GB2312" w:hAnsi="仿宋_GB2312" w:eastAsia="仿宋_GB2312" w:cs="仿宋_GB2312"/>
                <w:color w:val="000000"/>
                <w:kern w:val="0"/>
                <w:sz w:val="24"/>
                <w:szCs w:val="24"/>
              </w:rPr>
            </w:pPr>
            <w:bookmarkStart w:id="8" w:name="_Hlk213074928"/>
            <w:r>
              <w:rPr>
                <w:rFonts w:hint="eastAsia" w:ascii="仿宋_GB2312" w:hAnsi="仿宋_GB2312" w:eastAsia="仿宋_GB2312" w:cs="仿宋_GB2312"/>
                <w:color w:val="000000"/>
                <w:kern w:val="0"/>
                <w:sz w:val="24"/>
                <w:szCs w:val="24"/>
              </w:rPr>
              <w:t>1</w:t>
            </w:r>
          </w:p>
        </w:tc>
        <w:tc>
          <w:tcPr>
            <w:tcW w:w="605" w:type="pct"/>
            <w:vMerge w:val="restart"/>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14:paraId="734771B3">
            <w:pPr>
              <w:autoSpaceDE w:val="0"/>
              <w:autoSpaceDN w:val="0"/>
              <w:jc w:val="center"/>
              <w:rPr>
                <w:rFonts w:hint="eastAsia" w:ascii="仿宋_GB2312" w:hAnsi="仿宋_GB2312" w:eastAsia="仿宋_GB2312" w:cs="仿宋_GB2312"/>
                <w:color w:val="000000"/>
                <w:kern w:val="0"/>
                <w:sz w:val="24"/>
                <w:szCs w:val="24"/>
                <w:lang w:eastAsia="en-US"/>
              </w:rPr>
            </w:pPr>
            <w:r>
              <w:rPr>
                <w:rFonts w:hint="eastAsia" w:ascii="仿宋_GB2312" w:hAnsi="仿宋_GB2312" w:eastAsia="仿宋_GB2312" w:cs="仿宋_GB2312"/>
                <w:color w:val="000000"/>
                <w:kern w:val="0"/>
                <w:sz w:val="24"/>
                <w:szCs w:val="24"/>
              </w:rPr>
              <w:t>东胜区</w:t>
            </w:r>
            <w:r>
              <w:rPr>
                <w:rFonts w:hint="eastAsia" w:ascii="仿宋_GB2312" w:hAnsi="仿宋_GB2312" w:eastAsia="仿宋_GB2312" w:cs="仿宋_GB2312"/>
                <w:color w:val="000000"/>
                <w:kern w:val="0"/>
                <w:sz w:val="24"/>
                <w:szCs w:val="24"/>
                <w:lang w:eastAsia="en-US"/>
              </w:rPr>
              <w:t>达拉特旗</w:t>
            </w:r>
          </w:p>
        </w:tc>
        <w:tc>
          <w:tcPr>
            <w:tcW w:w="3061" w:type="pct"/>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14:paraId="6F683C1A">
            <w:pPr>
              <w:autoSpaceDE w:val="0"/>
              <w:autoSpaceDN w:val="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北联电能源有限公司高头窑煤矿救援中队</w:t>
            </w:r>
          </w:p>
        </w:tc>
        <w:tc>
          <w:tcPr>
            <w:tcW w:w="971" w:type="pct"/>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14:paraId="5C7C2F0A">
            <w:pPr>
              <w:autoSpaceDE w:val="0"/>
              <w:autoSpaceDN w:val="0"/>
              <w:jc w:val="center"/>
              <w:rPr>
                <w:rFonts w:hint="eastAsia" w:ascii="仿宋_GB2312" w:hAnsi="仿宋_GB2312" w:eastAsia="仿宋_GB2312" w:cs="仿宋_GB2312"/>
                <w:color w:val="000000"/>
                <w:kern w:val="0"/>
                <w:sz w:val="24"/>
                <w:szCs w:val="24"/>
                <w:lang w:eastAsia="en-US"/>
              </w:rPr>
            </w:pPr>
            <w:r>
              <w:rPr>
                <w:rFonts w:hint="eastAsia" w:ascii="仿宋_GB2312" w:hAnsi="仿宋_GB2312" w:eastAsia="仿宋_GB2312" w:cs="仿宋_GB2312"/>
                <w:color w:val="000000"/>
                <w:kern w:val="0"/>
                <w:sz w:val="24"/>
                <w:szCs w:val="24"/>
                <w:lang w:eastAsia="en-US"/>
              </w:rPr>
              <w:t>0477-3952306</w:t>
            </w:r>
          </w:p>
        </w:tc>
      </w:tr>
      <w:tr w14:paraId="0AFC688B">
        <w:tblPrEx>
          <w:tblCellMar>
            <w:top w:w="15" w:type="dxa"/>
            <w:left w:w="15" w:type="dxa"/>
            <w:bottom w:w="15" w:type="dxa"/>
            <w:right w:w="15" w:type="dxa"/>
          </w:tblCellMar>
        </w:tblPrEx>
        <w:trPr>
          <w:trHeight w:val="886" w:hRule="atLeast"/>
        </w:trPr>
        <w:tc>
          <w:tcPr>
            <w:tcW w:w="361" w:type="pct"/>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14:paraId="62557A65">
            <w:pPr>
              <w:autoSpaceDE w:val="0"/>
              <w:autoSpaceDN w:val="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2</w:t>
            </w:r>
          </w:p>
        </w:tc>
        <w:tc>
          <w:tcPr>
            <w:tcW w:w="605" w:type="pct"/>
            <w:vMerge w:val="continue"/>
            <w:tcBorders>
              <w:top w:val="nil"/>
              <w:left w:val="single" w:color="auto" w:sz="8" w:space="0"/>
              <w:bottom w:val="single" w:color="auto" w:sz="8" w:space="0"/>
              <w:right w:val="single" w:color="auto" w:sz="8" w:space="0"/>
            </w:tcBorders>
            <w:shd w:val="clear" w:color="auto" w:fill="FFFFFF"/>
            <w:vAlign w:val="center"/>
          </w:tcPr>
          <w:p w14:paraId="7EA92651">
            <w:pPr>
              <w:autoSpaceDE w:val="0"/>
              <w:autoSpaceDN w:val="0"/>
              <w:jc w:val="left"/>
              <w:rPr>
                <w:rFonts w:hint="eastAsia" w:ascii="仿宋_GB2312" w:hAnsi="仿宋_GB2312" w:eastAsia="仿宋_GB2312" w:cs="仿宋_GB2312"/>
                <w:color w:val="000000"/>
                <w:kern w:val="0"/>
                <w:sz w:val="24"/>
                <w:szCs w:val="24"/>
                <w:lang w:eastAsia="en-US"/>
              </w:rPr>
            </w:pPr>
          </w:p>
        </w:tc>
        <w:tc>
          <w:tcPr>
            <w:tcW w:w="3061" w:type="pct"/>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14:paraId="1B990D11">
            <w:pPr>
              <w:autoSpaceDE w:val="0"/>
              <w:autoSpaceDN w:val="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鄂尔多斯市万维应急救援技术服务有限责任公司</w:t>
            </w:r>
          </w:p>
        </w:tc>
        <w:tc>
          <w:tcPr>
            <w:tcW w:w="971" w:type="pct"/>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14:paraId="0B807DA8">
            <w:pPr>
              <w:autoSpaceDE w:val="0"/>
              <w:autoSpaceDN w:val="0"/>
              <w:jc w:val="center"/>
              <w:rPr>
                <w:rFonts w:hint="eastAsia" w:ascii="仿宋_GB2312" w:hAnsi="仿宋_GB2312" w:eastAsia="仿宋_GB2312" w:cs="仿宋_GB2312"/>
                <w:color w:val="000000"/>
                <w:kern w:val="0"/>
                <w:sz w:val="24"/>
                <w:szCs w:val="24"/>
                <w:lang w:eastAsia="en-US"/>
              </w:rPr>
            </w:pPr>
            <w:r>
              <w:rPr>
                <w:rFonts w:hint="eastAsia" w:ascii="仿宋_GB2312" w:hAnsi="仿宋_GB2312" w:eastAsia="仿宋_GB2312" w:cs="仿宋_GB2312"/>
                <w:color w:val="000000"/>
                <w:kern w:val="0"/>
                <w:sz w:val="24"/>
                <w:szCs w:val="24"/>
                <w:lang w:eastAsia="en-US"/>
              </w:rPr>
              <w:t>0477-8189550</w:t>
            </w:r>
          </w:p>
        </w:tc>
      </w:tr>
      <w:tr w14:paraId="1DDEC57D">
        <w:tblPrEx>
          <w:shd w:val="clear" w:color="auto" w:fill="FFFFFF"/>
          <w:tblCellMar>
            <w:top w:w="15" w:type="dxa"/>
            <w:left w:w="15" w:type="dxa"/>
            <w:bottom w:w="15" w:type="dxa"/>
            <w:right w:w="15" w:type="dxa"/>
          </w:tblCellMar>
        </w:tblPrEx>
        <w:trPr>
          <w:trHeight w:val="886" w:hRule="atLeast"/>
        </w:trPr>
        <w:tc>
          <w:tcPr>
            <w:tcW w:w="361" w:type="pct"/>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14:paraId="3BADD10E">
            <w:pPr>
              <w:autoSpaceDE w:val="0"/>
              <w:autoSpaceDN w:val="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3</w:t>
            </w:r>
          </w:p>
        </w:tc>
        <w:tc>
          <w:tcPr>
            <w:tcW w:w="605" w:type="pct"/>
            <w:vMerge w:val="continue"/>
            <w:tcBorders>
              <w:top w:val="nil"/>
              <w:left w:val="single" w:color="auto" w:sz="8" w:space="0"/>
              <w:bottom w:val="single" w:color="auto" w:sz="8" w:space="0"/>
              <w:right w:val="single" w:color="auto" w:sz="8" w:space="0"/>
            </w:tcBorders>
            <w:shd w:val="clear" w:color="auto" w:fill="FFFFFF"/>
            <w:vAlign w:val="center"/>
          </w:tcPr>
          <w:p w14:paraId="62679081">
            <w:pPr>
              <w:autoSpaceDE w:val="0"/>
              <w:autoSpaceDN w:val="0"/>
              <w:jc w:val="left"/>
              <w:rPr>
                <w:rFonts w:hint="eastAsia" w:ascii="仿宋_GB2312" w:hAnsi="仿宋_GB2312" w:eastAsia="仿宋_GB2312" w:cs="仿宋_GB2312"/>
                <w:color w:val="000000"/>
                <w:kern w:val="0"/>
                <w:sz w:val="24"/>
                <w:szCs w:val="24"/>
                <w:lang w:eastAsia="en-US"/>
              </w:rPr>
            </w:pPr>
          </w:p>
        </w:tc>
        <w:tc>
          <w:tcPr>
            <w:tcW w:w="3061" w:type="pct"/>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14:paraId="0A64219C">
            <w:pPr>
              <w:autoSpaceDE w:val="0"/>
              <w:autoSpaceDN w:val="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内蒙古银宏能源开发有限公司（泊江海子）救援中队</w:t>
            </w:r>
          </w:p>
        </w:tc>
        <w:tc>
          <w:tcPr>
            <w:tcW w:w="971" w:type="pct"/>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14:paraId="312C6CA6">
            <w:pPr>
              <w:autoSpaceDE w:val="0"/>
              <w:autoSpaceDN w:val="0"/>
              <w:jc w:val="center"/>
              <w:rPr>
                <w:rFonts w:hint="eastAsia" w:ascii="仿宋_GB2312" w:hAnsi="仿宋_GB2312" w:eastAsia="仿宋_GB2312" w:cs="仿宋_GB2312"/>
                <w:color w:val="000000"/>
                <w:kern w:val="0"/>
                <w:sz w:val="24"/>
                <w:szCs w:val="24"/>
                <w:lang w:eastAsia="en-US"/>
              </w:rPr>
            </w:pPr>
            <w:r>
              <w:rPr>
                <w:rFonts w:hint="eastAsia" w:ascii="仿宋_GB2312" w:hAnsi="仿宋_GB2312" w:eastAsia="仿宋_GB2312" w:cs="仿宋_GB2312"/>
                <w:color w:val="000000"/>
                <w:kern w:val="0"/>
                <w:sz w:val="24"/>
                <w:szCs w:val="24"/>
                <w:lang w:eastAsia="en-US"/>
              </w:rPr>
              <w:t>0477-3881719</w:t>
            </w:r>
          </w:p>
        </w:tc>
      </w:tr>
      <w:tr w14:paraId="030D5D52">
        <w:tblPrEx>
          <w:tblCellMar>
            <w:top w:w="15" w:type="dxa"/>
            <w:left w:w="15" w:type="dxa"/>
            <w:bottom w:w="15" w:type="dxa"/>
            <w:right w:w="15" w:type="dxa"/>
          </w:tblCellMar>
        </w:tblPrEx>
        <w:trPr>
          <w:trHeight w:val="913" w:hRule="atLeast"/>
        </w:trPr>
        <w:tc>
          <w:tcPr>
            <w:tcW w:w="361" w:type="pct"/>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14:paraId="5C285320">
            <w:pPr>
              <w:autoSpaceDE w:val="0"/>
              <w:autoSpaceDN w:val="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4</w:t>
            </w:r>
          </w:p>
        </w:tc>
        <w:tc>
          <w:tcPr>
            <w:tcW w:w="605" w:type="pct"/>
            <w:vMerge w:val="continue"/>
            <w:tcBorders>
              <w:top w:val="nil"/>
              <w:left w:val="single" w:color="auto" w:sz="8" w:space="0"/>
              <w:bottom w:val="single" w:color="auto" w:sz="8" w:space="0"/>
              <w:right w:val="single" w:color="auto" w:sz="8" w:space="0"/>
            </w:tcBorders>
            <w:shd w:val="clear" w:color="auto" w:fill="FFFFFF"/>
            <w:vAlign w:val="center"/>
          </w:tcPr>
          <w:p w14:paraId="6447DF64">
            <w:pPr>
              <w:autoSpaceDE w:val="0"/>
              <w:autoSpaceDN w:val="0"/>
              <w:jc w:val="left"/>
              <w:rPr>
                <w:rFonts w:hint="eastAsia" w:ascii="仿宋_GB2312" w:hAnsi="仿宋_GB2312" w:eastAsia="仿宋_GB2312" w:cs="仿宋_GB2312"/>
                <w:color w:val="000000"/>
                <w:kern w:val="0"/>
                <w:sz w:val="24"/>
                <w:szCs w:val="24"/>
                <w:lang w:eastAsia="en-US"/>
              </w:rPr>
            </w:pPr>
          </w:p>
        </w:tc>
        <w:tc>
          <w:tcPr>
            <w:tcW w:w="3061" w:type="pct"/>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14:paraId="099FE3DA">
            <w:pPr>
              <w:autoSpaceDE w:val="0"/>
              <w:autoSpaceDN w:val="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杭锦旗西部能源开发有限公司救援中队</w:t>
            </w:r>
          </w:p>
        </w:tc>
        <w:tc>
          <w:tcPr>
            <w:tcW w:w="971" w:type="pct"/>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14:paraId="6D703BFB">
            <w:pPr>
              <w:autoSpaceDE w:val="0"/>
              <w:autoSpaceDN w:val="0"/>
              <w:jc w:val="center"/>
              <w:rPr>
                <w:rFonts w:hint="eastAsia" w:ascii="仿宋_GB2312" w:hAnsi="仿宋_GB2312" w:eastAsia="仿宋_GB2312" w:cs="仿宋_GB2312"/>
                <w:color w:val="000000"/>
                <w:kern w:val="0"/>
                <w:sz w:val="24"/>
                <w:szCs w:val="24"/>
                <w:lang w:eastAsia="en-US"/>
              </w:rPr>
            </w:pPr>
            <w:r>
              <w:rPr>
                <w:rFonts w:hint="eastAsia" w:ascii="仿宋_GB2312" w:hAnsi="仿宋_GB2312" w:eastAsia="仿宋_GB2312" w:cs="仿宋_GB2312"/>
                <w:color w:val="000000"/>
                <w:kern w:val="0"/>
                <w:sz w:val="24"/>
                <w:szCs w:val="24"/>
                <w:lang w:eastAsia="en-US"/>
              </w:rPr>
              <w:t>0477-5160804</w:t>
            </w:r>
          </w:p>
          <w:p w14:paraId="3B45B1D7">
            <w:pPr>
              <w:autoSpaceDE w:val="0"/>
              <w:autoSpaceDN w:val="0"/>
              <w:jc w:val="center"/>
              <w:rPr>
                <w:rFonts w:hint="eastAsia" w:ascii="仿宋_GB2312" w:hAnsi="仿宋_GB2312" w:eastAsia="仿宋_GB2312" w:cs="仿宋_GB2312"/>
                <w:color w:val="000000"/>
                <w:kern w:val="0"/>
                <w:sz w:val="24"/>
                <w:szCs w:val="24"/>
                <w:lang w:eastAsia="en-US"/>
              </w:rPr>
            </w:pPr>
            <w:r>
              <w:rPr>
                <w:rFonts w:hint="eastAsia" w:ascii="仿宋_GB2312" w:hAnsi="仿宋_GB2312" w:eastAsia="仿宋_GB2312" w:cs="仿宋_GB2312"/>
                <w:color w:val="000000"/>
                <w:kern w:val="0"/>
                <w:sz w:val="24"/>
                <w:szCs w:val="24"/>
                <w:lang w:eastAsia="en-US"/>
              </w:rPr>
              <w:t>0477-5168267</w:t>
            </w:r>
          </w:p>
        </w:tc>
      </w:tr>
      <w:bookmarkEnd w:id="8"/>
    </w:tbl>
    <w:p w14:paraId="1080CBBB">
      <w:pPr>
        <w:spacing w:line="360" w:lineRule="auto"/>
        <w:ind w:firstLine="480" w:firstLineChars="200"/>
        <w:jc w:val="left"/>
        <w:rPr>
          <w:rFonts w:hint="eastAsia" w:ascii="宋体" w:hAnsi="宋体" w:eastAsia="等线" w:cs="Times New Roman"/>
          <w:color w:val="000000"/>
          <w:sz w:val="24"/>
          <w:szCs w:val="22"/>
        </w:rPr>
      </w:pPr>
    </w:p>
    <w:p w14:paraId="15AE01EC">
      <w:pPr>
        <w:spacing w:line="360" w:lineRule="auto"/>
        <w:ind w:firstLine="480" w:firstLineChars="200"/>
        <w:jc w:val="left"/>
        <w:rPr>
          <w:rFonts w:hint="eastAsia" w:ascii="宋体" w:hAnsi="宋体" w:eastAsia="等线" w:cs="Times New Roman"/>
          <w:color w:val="000000"/>
          <w:sz w:val="24"/>
          <w:szCs w:val="22"/>
        </w:rPr>
      </w:pPr>
    </w:p>
    <w:p w14:paraId="6FDE9F8C">
      <w:pPr>
        <w:rPr>
          <w:rFonts w:ascii="Times New Roman" w:hAnsi="Times New Roman" w:eastAsia="等线" w:cs="Times New Roman"/>
          <w:color w:val="000000"/>
        </w:rPr>
        <w:sectPr>
          <w:pgSz w:w="11906" w:h="16838"/>
          <w:pgMar w:top="1440" w:right="1800" w:bottom="1440" w:left="1800" w:header="851" w:footer="992" w:gutter="0"/>
          <w:pgNumType w:fmt="decimal"/>
          <w:cols w:space="425" w:num="1"/>
          <w:docGrid w:type="lines" w:linePitch="312" w:charSpace="0"/>
        </w:sectPr>
      </w:pPr>
    </w:p>
    <w:p w14:paraId="62E4F84C">
      <w:pPr>
        <w:keepNext/>
        <w:keepLines/>
        <w:spacing w:line="360" w:lineRule="auto"/>
        <w:outlineLvl w:val="2"/>
        <w:rPr>
          <w:rFonts w:hint="eastAsia" w:ascii="黑体" w:hAnsi="黑体" w:eastAsia="黑体" w:cs="黑体"/>
          <w:color w:val="000000"/>
          <w:kern w:val="0"/>
          <w:sz w:val="28"/>
          <w:szCs w:val="28"/>
        </w:rPr>
      </w:pPr>
      <w:bookmarkStart w:id="9" w:name="_Toc124760799"/>
      <w:bookmarkStart w:id="10" w:name="_Toc136338336"/>
      <w:bookmarkStart w:id="11" w:name="_Toc124899080"/>
      <w:bookmarkStart w:id="12" w:name="_Toc213315333"/>
      <w:bookmarkStart w:id="13" w:name="_Toc124849643"/>
      <w:r>
        <w:rPr>
          <w:rFonts w:hint="eastAsia" w:ascii="黑体" w:hAnsi="黑体" w:eastAsia="黑体" w:cs="黑体"/>
          <w:color w:val="000000"/>
          <w:kern w:val="0"/>
          <w:sz w:val="28"/>
          <w:szCs w:val="28"/>
        </w:rPr>
        <w:t xml:space="preserve">附件6 </w:t>
      </w:r>
    </w:p>
    <w:p w14:paraId="3CDF07B2">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2"/>
        <w:rPr>
          <w:rFonts w:hint="eastAsia" w:ascii="方正小标宋简体" w:hAnsi="方正小标宋简体" w:eastAsia="方正小标宋简体" w:cs="方正小标宋简体"/>
          <w:color w:val="000000"/>
          <w:kern w:val="0"/>
          <w:sz w:val="44"/>
          <w:szCs w:val="44"/>
        </w:rPr>
      </w:pPr>
      <w:r>
        <w:rPr>
          <w:rFonts w:hint="eastAsia" w:ascii="方正小标宋简体" w:hAnsi="方正小标宋简体" w:eastAsia="方正小标宋简体" w:cs="方正小标宋简体"/>
          <w:color w:val="000000"/>
          <w:kern w:val="0"/>
          <w:sz w:val="44"/>
          <w:szCs w:val="44"/>
        </w:rPr>
        <w:t xml:space="preserve"> 达拉特旗重点医院清单</w:t>
      </w:r>
      <w:bookmarkEnd w:id="9"/>
      <w:r>
        <w:rPr>
          <w:rFonts w:hint="eastAsia" w:ascii="方正小标宋简体" w:hAnsi="方正小标宋简体" w:eastAsia="方正小标宋简体" w:cs="方正小标宋简体"/>
          <w:color w:val="000000"/>
          <w:kern w:val="0"/>
          <w:sz w:val="44"/>
          <w:szCs w:val="44"/>
        </w:rPr>
        <w:t>及地理位置图</w:t>
      </w:r>
      <w:bookmarkEnd w:id="10"/>
      <w:bookmarkEnd w:id="11"/>
      <w:bookmarkEnd w:id="12"/>
      <w:bookmarkEnd w:id="13"/>
    </w:p>
    <w:tbl>
      <w:tblPr>
        <w:tblStyle w:val="4"/>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55"/>
        <w:gridCol w:w="3558"/>
        <w:gridCol w:w="3047"/>
      </w:tblGrid>
      <w:tr w14:paraId="1289D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2455" w:type="dxa"/>
            <w:vAlign w:val="center"/>
          </w:tcPr>
          <w:p w14:paraId="32D14817">
            <w:pPr>
              <w:jc w:val="center"/>
              <w:rPr>
                <w:rFonts w:hint="eastAsia" w:ascii="黑体" w:hAnsi="黑体" w:eastAsia="黑体" w:cs="Times New Roman"/>
                <w:b/>
                <w:bCs/>
                <w:color w:val="000000"/>
                <w:szCs w:val="21"/>
              </w:rPr>
            </w:pPr>
            <w:bookmarkStart w:id="14" w:name="_Toc125027665"/>
            <w:bookmarkStart w:id="15" w:name="_Toc125026783"/>
            <w:bookmarkStart w:id="16" w:name="_Toc124849644"/>
            <w:bookmarkStart w:id="17" w:name="_Toc125033297"/>
            <w:bookmarkStart w:id="18" w:name="_Toc125026515"/>
            <w:bookmarkStart w:id="19" w:name="_Toc124899081"/>
            <w:bookmarkStart w:id="20" w:name="_Toc124760800"/>
            <w:r>
              <w:rPr>
                <w:rFonts w:ascii="黑体" w:hAnsi="黑体" w:eastAsia="黑体" w:cs="Times New Roman"/>
                <w:b/>
                <w:bCs/>
                <w:color w:val="000000"/>
                <w:szCs w:val="21"/>
              </w:rPr>
              <w:t>医院名称</w:t>
            </w:r>
            <w:bookmarkEnd w:id="14"/>
            <w:bookmarkEnd w:id="15"/>
            <w:bookmarkEnd w:id="16"/>
            <w:bookmarkEnd w:id="17"/>
            <w:bookmarkEnd w:id="18"/>
            <w:bookmarkEnd w:id="19"/>
            <w:bookmarkEnd w:id="20"/>
          </w:p>
        </w:tc>
        <w:tc>
          <w:tcPr>
            <w:tcW w:w="3558" w:type="dxa"/>
            <w:vAlign w:val="center"/>
          </w:tcPr>
          <w:p w14:paraId="76DF4221">
            <w:pPr>
              <w:jc w:val="center"/>
              <w:rPr>
                <w:rFonts w:hint="eastAsia" w:ascii="黑体" w:hAnsi="黑体" w:eastAsia="黑体" w:cs="Times New Roman"/>
                <w:b/>
                <w:bCs/>
                <w:color w:val="000000"/>
                <w:szCs w:val="21"/>
              </w:rPr>
            </w:pPr>
            <w:bookmarkStart w:id="21" w:name="_Toc125026516"/>
            <w:bookmarkStart w:id="22" w:name="_Toc124760801"/>
            <w:bookmarkStart w:id="23" w:name="_Toc125033298"/>
            <w:bookmarkStart w:id="24" w:name="_Toc124899082"/>
            <w:bookmarkStart w:id="25" w:name="_Toc124849645"/>
            <w:bookmarkStart w:id="26" w:name="_Toc125026784"/>
            <w:bookmarkStart w:id="27" w:name="_Toc125027666"/>
            <w:r>
              <w:rPr>
                <w:rFonts w:ascii="黑体" w:hAnsi="黑体" w:eastAsia="黑体" w:cs="Times New Roman"/>
                <w:b/>
                <w:bCs/>
                <w:color w:val="000000"/>
                <w:szCs w:val="21"/>
              </w:rPr>
              <w:t>地址</w:t>
            </w:r>
            <w:bookmarkEnd w:id="21"/>
            <w:bookmarkEnd w:id="22"/>
            <w:bookmarkEnd w:id="23"/>
            <w:bookmarkEnd w:id="24"/>
            <w:bookmarkEnd w:id="25"/>
            <w:bookmarkEnd w:id="26"/>
            <w:bookmarkEnd w:id="27"/>
          </w:p>
        </w:tc>
        <w:tc>
          <w:tcPr>
            <w:tcW w:w="3047" w:type="dxa"/>
            <w:vAlign w:val="center"/>
          </w:tcPr>
          <w:p w14:paraId="67DF58C1">
            <w:pPr>
              <w:jc w:val="center"/>
              <w:rPr>
                <w:rFonts w:hint="eastAsia" w:ascii="黑体" w:hAnsi="黑体" w:eastAsia="黑体" w:cs="Times New Roman"/>
                <w:b/>
                <w:bCs/>
                <w:color w:val="000000"/>
                <w:szCs w:val="21"/>
              </w:rPr>
            </w:pPr>
            <w:bookmarkStart w:id="28" w:name="_Toc125033299"/>
            <w:bookmarkStart w:id="29" w:name="_Toc125026517"/>
            <w:bookmarkStart w:id="30" w:name="_Toc125026785"/>
            <w:bookmarkStart w:id="31" w:name="_Toc124899083"/>
            <w:bookmarkStart w:id="32" w:name="_Toc125027667"/>
            <w:bookmarkStart w:id="33" w:name="_Toc124760802"/>
            <w:bookmarkStart w:id="34" w:name="_Toc124849646"/>
            <w:r>
              <w:rPr>
                <w:rFonts w:ascii="黑体" w:hAnsi="黑体" w:eastAsia="黑体" w:cs="Times New Roman"/>
                <w:b/>
                <w:bCs/>
                <w:color w:val="000000"/>
                <w:szCs w:val="21"/>
              </w:rPr>
              <w:t>联系电话</w:t>
            </w:r>
            <w:bookmarkEnd w:id="28"/>
            <w:bookmarkEnd w:id="29"/>
            <w:bookmarkEnd w:id="30"/>
            <w:bookmarkEnd w:id="31"/>
            <w:bookmarkEnd w:id="32"/>
            <w:bookmarkEnd w:id="33"/>
            <w:bookmarkEnd w:id="34"/>
          </w:p>
        </w:tc>
      </w:tr>
      <w:tr w14:paraId="01938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2455" w:type="dxa"/>
            <w:vAlign w:val="center"/>
          </w:tcPr>
          <w:p w14:paraId="7255DA18">
            <w:pPr>
              <w:jc w:val="center"/>
              <w:rPr>
                <w:rFonts w:hint="eastAsia" w:ascii="宋体" w:hAnsi="宋体" w:eastAsia="宋体" w:cs="Times New Roman"/>
                <w:color w:val="000000"/>
                <w:szCs w:val="21"/>
              </w:rPr>
            </w:pPr>
            <w:r>
              <w:rPr>
                <w:rFonts w:ascii="宋体" w:hAnsi="宋体" w:eastAsia="宋体" w:cs="Times New Roman"/>
                <w:color w:val="000000"/>
                <w:szCs w:val="21"/>
              </w:rPr>
              <w:t>鄂尔多斯市达拉特旗人民医院</w:t>
            </w:r>
          </w:p>
        </w:tc>
        <w:tc>
          <w:tcPr>
            <w:tcW w:w="3558" w:type="dxa"/>
            <w:vAlign w:val="center"/>
          </w:tcPr>
          <w:p w14:paraId="57909E3E">
            <w:pPr>
              <w:jc w:val="center"/>
              <w:rPr>
                <w:rFonts w:hint="eastAsia" w:ascii="宋体" w:hAnsi="宋体" w:eastAsia="宋体" w:cs="Times New Roman"/>
                <w:color w:val="000000"/>
                <w:szCs w:val="21"/>
              </w:rPr>
            </w:pPr>
            <w:r>
              <w:rPr>
                <w:rFonts w:ascii="宋体" w:hAnsi="宋体" w:eastAsia="宋体" w:cs="Times New Roman"/>
                <w:color w:val="000000"/>
                <w:szCs w:val="21"/>
              </w:rPr>
              <w:t>达拉特旗德胜大街北50米</w:t>
            </w:r>
          </w:p>
        </w:tc>
        <w:tc>
          <w:tcPr>
            <w:tcW w:w="3047" w:type="dxa"/>
            <w:vAlign w:val="center"/>
          </w:tcPr>
          <w:p w14:paraId="22F6BC6D">
            <w:pPr>
              <w:jc w:val="center"/>
              <w:rPr>
                <w:rFonts w:hint="eastAsia" w:ascii="宋体" w:hAnsi="宋体" w:eastAsia="宋体" w:cs="Times New Roman"/>
                <w:color w:val="000000"/>
                <w:szCs w:val="21"/>
              </w:rPr>
            </w:pPr>
            <w:r>
              <w:rPr>
                <w:rFonts w:ascii="宋体" w:hAnsi="宋体" w:eastAsia="宋体" w:cs="Times New Roman"/>
                <w:color w:val="000000"/>
                <w:szCs w:val="21"/>
              </w:rPr>
              <w:t>0477-3946991</w:t>
            </w:r>
          </w:p>
        </w:tc>
      </w:tr>
      <w:tr w14:paraId="217DA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2455" w:type="dxa"/>
            <w:vAlign w:val="center"/>
          </w:tcPr>
          <w:p w14:paraId="3A0E4F0C">
            <w:pPr>
              <w:jc w:val="center"/>
              <w:rPr>
                <w:rFonts w:hint="eastAsia" w:ascii="宋体" w:hAnsi="宋体" w:eastAsia="宋体" w:cs="Times New Roman"/>
                <w:color w:val="000000"/>
                <w:szCs w:val="21"/>
              </w:rPr>
            </w:pPr>
            <w:r>
              <w:rPr>
                <w:rFonts w:ascii="宋体" w:hAnsi="宋体" w:eastAsia="宋体" w:cs="Times New Roman"/>
                <w:color w:val="000000"/>
                <w:szCs w:val="21"/>
              </w:rPr>
              <w:t>达拉特旗中蒙医医院</w:t>
            </w:r>
          </w:p>
        </w:tc>
        <w:tc>
          <w:tcPr>
            <w:tcW w:w="3558" w:type="dxa"/>
            <w:vAlign w:val="center"/>
          </w:tcPr>
          <w:p w14:paraId="4D947AA6">
            <w:pPr>
              <w:jc w:val="center"/>
              <w:rPr>
                <w:rFonts w:hint="eastAsia" w:ascii="宋体" w:hAnsi="宋体" w:eastAsia="宋体" w:cs="Times New Roman"/>
                <w:color w:val="000000"/>
                <w:szCs w:val="21"/>
              </w:rPr>
            </w:pPr>
            <w:r>
              <w:rPr>
                <w:rFonts w:ascii="宋体" w:hAnsi="宋体" w:eastAsia="宋体" w:cs="Times New Roman"/>
                <w:color w:val="000000"/>
                <w:szCs w:val="21"/>
              </w:rPr>
              <w:t>达拉特旗平原大街与建设路交汇处西北侧70米</w:t>
            </w:r>
          </w:p>
        </w:tc>
        <w:tc>
          <w:tcPr>
            <w:tcW w:w="3047" w:type="dxa"/>
            <w:vAlign w:val="center"/>
          </w:tcPr>
          <w:p w14:paraId="6FEC024C">
            <w:pPr>
              <w:jc w:val="center"/>
              <w:rPr>
                <w:rFonts w:hint="eastAsia" w:ascii="宋体" w:hAnsi="宋体" w:eastAsia="宋体" w:cs="Times New Roman"/>
                <w:color w:val="000000"/>
                <w:szCs w:val="21"/>
              </w:rPr>
            </w:pPr>
            <w:r>
              <w:rPr>
                <w:rFonts w:ascii="宋体" w:hAnsi="宋体" w:eastAsia="宋体" w:cs="Times New Roman"/>
                <w:color w:val="000000"/>
                <w:szCs w:val="21"/>
              </w:rPr>
              <w:t>0477-3946038</w:t>
            </w:r>
          </w:p>
        </w:tc>
      </w:tr>
      <w:tr w14:paraId="3013A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2455" w:type="dxa"/>
            <w:vAlign w:val="center"/>
          </w:tcPr>
          <w:p w14:paraId="0001423A">
            <w:pPr>
              <w:jc w:val="center"/>
              <w:rPr>
                <w:rFonts w:hint="eastAsia" w:ascii="宋体" w:hAnsi="宋体" w:eastAsia="宋体" w:cs="Times New Roman"/>
                <w:color w:val="000000"/>
                <w:szCs w:val="21"/>
              </w:rPr>
            </w:pPr>
            <w:r>
              <w:rPr>
                <w:rFonts w:ascii="宋体" w:hAnsi="宋体" w:eastAsia="宋体" w:cs="Times New Roman"/>
                <w:color w:val="000000"/>
                <w:szCs w:val="21"/>
              </w:rPr>
              <w:t>达旗妇幼保健院</w:t>
            </w:r>
          </w:p>
        </w:tc>
        <w:tc>
          <w:tcPr>
            <w:tcW w:w="3558" w:type="dxa"/>
            <w:vAlign w:val="center"/>
          </w:tcPr>
          <w:p w14:paraId="509656E5">
            <w:pPr>
              <w:jc w:val="center"/>
              <w:rPr>
                <w:rFonts w:hint="eastAsia" w:ascii="宋体" w:hAnsi="宋体" w:eastAsia="宋体" w:cs="Times New Roman"/>
                <w:color w:val="000000"/>
                <w:szCs w:val="21"/>
              </w:rPr>
            </w:pPr>
            <w:r>
              <w:rPr>
                <w:rFonts w:ascii="宋体" w:hAnsi="宋体" w:eastAsia="宋体" w:cs="Times New Roman"/>
                <w:color w:val="000000"/>
                <w:szCs w:val="21"/>
              </w:rPr>
              <w:t>达拉特旗平原街道西园路海业家园北100米</w:t>
            </w:r>
          </w:p>
        </w:tc>
        <w:tc>
          <w:tcPr>
            <w:tcW w:w="3047" w:type="dxa"/>
            <w:vAlign w:val="center"/>
          </w:tcPr>
          <w:p w14:paraId="30B90306">
            <w:pPr>
              <w:jc w:val="center"/>
              <w:rPr>
                <w:rFonts w:hint="eastAsia" w:ascii="宋体" w:hAnsi="宋体" w:eastAsia="宋体" w:cs="Times New Roman"/>
                <w:color w:val="000000"/>
                <w:szCs w:val="21"/>
              </w:rPr>
            </w:pPr>
            <w:r>
              <w:rPr>
                <w:rFonts w:ascii="宋体" w:hAnsi="宋体" w:eastAsia="宋体" w:cs="Times New Roman"/>
                <w:color w:val="000000"/>
                <w:szCs w:val="21"/>
              </w:rPr>
              <w:t>0477-2257788</w:t>
            </w:r>
          </w:p>
        </w:tc>
      </w:tr>
      <w:tr w14:paraId="6A90E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2455" w:type="dxa"/>
            <w:vAlign w:val="center"/>
          </w:tcPr>
          <w:p w14:paraId="29BBAD34">
            <w:pPr>
              <w:jc w:val="center"/>
              <w:rPr>
                <w:rFonts w:hint="eastAsia" w:ascii="宋体" w:hAnsi="宋体" w:eastAsia="宋体" w:cs="Times New Roman"/>
                <w:color w:val="000000"/>
                <w:szCs w:val="21"/>
              </w:rPr>
            </w:pPr>
            <w:r>
              <w:rPr>
                <w:rFonts w:ascii="宋体" w:hAnsi="宋体" w:eastAsia="宋体" w:cs="Times New Roman"/>
                <w:color w:val="000000"/>
                <w:szCs w:val="21"/>
              </w:rPr>
              <w:t>达拉特旗中医院</w:t>
            </w:r>
          </w:p>
        </w:tc>
        <w:tc>
          <w:tcPr>
            <w:tcW w:w="3558" w:type="dxa"/>
            <w:vAlign w:val="center"/>
          </w:tcPr>
          <w:p w14:paraId="4B4BB686">
            <w:pPr>
              <w:jc w:val="center"/>
              <w:rPr>
                <w:rFonts w:hint="eastAsia" w:ascii="宋体" w:hAnsi="宋体" w:eastAsia="宋体" w:cs="Times New Roman"/>
                <w:color w:val="000000"/>
                <w:szCs w:val="21"/>
              </w:rPr>
            </w:pPr>
            <w:r>
              <w:rPr>
                <w:rFonts w:ascii="宋体" w:hAnsi="宋体" w:eastAsia="宋体" w:cs="Times New Roman"/>
                <w:color w:val="000000"/>
                <w:szCs w:val="21"/>
              </w:rPr>
              <w:t>达拉特旗内蒙古达拉特经济开发区管委会附近</w:t>
            </w:r>
          </w:p>
        </w:tc>
        <w:tc>
          <w:tcPr>
            <w:tcW w:w="3047" w:type="dxa"/>
            <w:vAlign w:val="center"/>
          </w:tcPr>
          <w:p w14:paraId="38FBC072">
            <w:pPr>
              <w:jc w:val="center"/>
              <w:rPr>
                <w:rFonts w:hint="eastAsia" w:ascii="宋体" w:hAnsi="宋体" w:eastAsia="宋体" w:cs="Times New Roman"/>
                <w:color w:val="000000"/>
                <w:szCs w:val="21"/>
              </w:rPr>
            </w:pPr>
            <w:r>
              <w:rPr>
                <w:rFonts w:ascii="宋体" w:hAnsi="宋体" w:eastAsia="宋体" w:cs="Times New Roman"/>
                <w:color w:val="000000"/>
                <w:szCs w:val="21"/>
              </w:rPr>
              <w:t>0477-5213140/5212563</w:t>
            </w:r>
          </w:p>
        </w:tc>
      </w:tr>
    </w:tbl>
    <w:p w14:paraId="638CCBB2">
      <w:pPr>
        <w:widowControl/>
        <w:spacing w:after="200" w:line="276" w:lineRule="auto"/>
        <w:jc w:val="center"/>
        <w:rPr>
          <w:rFonts w:hint="default" w:ascii="Times New Roman" w:hAnsi="Times New Roman" w:eastAsia="方正仿宋_GBK" w:cs="方正仿宋_GBK"/>
          <w:color w:val="000000"/>
          <w:sz w:val="32"/>
          <w:szCs w:val="32"/>
          <w:lang w:bidi="ar"/>
        </w:rPr>
      </w:pPr>
      <w:r>
        <w:rPr>
          <w:rFonts w:ascii="Times New Roman" w:hAnsi="Times New Roman" w:eastAsia="宋体" w:cs="Times New Roman"/>
          <w:color w:val="000000"/>
          <w:kern w:val="0"/>
          <w:sz w:val="22"/>
          <w:szCs w:val="22"/>
        </w:rPr>
        <w:drawing>
          <wp:inline distT="0" distB="0" distL="0" distR="0">
            <wp:extent cx="4465955" cy="2604770"/>
            <wp:effectExtent l="0" t="0" r="1079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465955" cy="2604770"/>
                    </a:xfrm>
                    <a:prstGeom prst="rect">
                      <a:avLst/>
                    </a:prstGeom>
                    <a:noFill/>
                    <a:ln>
                      <a:noFill/>
                    </a:ln>
                  </pic:spPr>
                </pic:pic>
              </a:graphicData>
            </a:graphic>
          </wp:inline>
        </w:drawing>
      </w:r>
      <w:bookmarkStart w:id="35" w:name="_Toc15257"/>
      <w:bookmarkEnd w:id="35"/>
    </w:p>
    <w:p w14:paraId="3EA3BD94">
      <w:pPr>
        <w:pStyle w:val="3"/>
        <w:widowControl/>
        <w:spacing w:line="560" w:lineRule="exact"/>
        <w:ind w:firstLine="640"/>
        <w:jc w:val="both"/>
        <w:rPr>
          <w:rFonts w:hint="default" w:ascii="Times New Roman" w:hAnsi="Times New Roman" w:eastAsia="方正仿宋_GBK" w:cs="方正仿宋_GBK"/>
          <w:color w:val="000000"/>
          <w:sz w:val="32"/>
          <w:szCs w:val="32"/>
          <w:lang w:bidi="ar"/>
        </w:rPr>
      </w:pPr>
    </w:p>
    <w:p w14:paraId="45D2BB46">
      <w:pPr>
        <w:pStyle w:val="3"/>
        <w:widowControl/>
        <w:spacing w:line="560" w:lineRule="exact"/>
        <w:ind w:firstLine="640"/>
        <w:jc w:val="both"/>
        <w:rPr>
          <w:rFonts w:hint="default" w:ascii="Times New Roman" w:hAnsi="Times New Roman" w:eastAsia="方正仿宋_GBK" w:cs="方正仿宋_GBK"/>
          <w:color w:val="000000"/>
          <w:sz w:val="32"/>
          <w:szCs w:val="32"/>
          <w:lang w:bidi="ar"/>
        </w:rPr>
      </w:pPr>
    </w:p>
    <w:p w14:paraId="28CF13A6"/>
    <w:p w14:paraId="2CF76CDF"/>
    <w:p w14:paraId="066BC0AE">
      <w:bookmarkStart w:id="36" w:name="_GoBack"/>
      <w:bookmarkEnd w:id="36"/>
    </w:p>
    <w:sectPr>
      <w:footerReference r:id="rId4" w:type="default"/>
      <w:pgSz w:w="11906" w:h="16838"/>
      <w:pgMar w:top="2098" w:right="1474" w:bottom="1984" w:left="158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等线">
    <w:altName w:val="Arial Unicode MS"/>
    <w:panose1 w:val="02010600030101010101"/>
    <w:charset w:val="86"/>
    <w:family w:val="auto"/>
    <w:pitch w:val="default"/>
    <w:sig w:usb0="00000000" w:usb1="00000000" w:usb2="00000016" w:usb3="00000000" w:csb0="0004000F" w:csb1="00000000"/>
  </w:font>
  <w:font w:name="方正仿宋_GBK">
    <w:altName w:val="Arial Unicode MS"/>
    <w:panose1 w:val="03000509000000000000"/>
    <w:charset w:val="86"/>
    <w:family w:val="script"/>
    <w:pitch w:val="default"/>
    <w:sig w:usb0="00000000" w:usb1="00000000" w:usb2="00000000" w:usb3="00000000" w:csb0="00040000" w:csb1="00000000"/>
  </w:font>
  <w:font w:name="Microsoft Yi Baiti">
    <w:panose1 w:val="03000500000000000000"/>
    <w:charset w:val="00"/>
    <w:family w:val="script"/>
    <w:pitch w:val="default"/>
    <w:sig w:usb0="80000003" w:usb1="00010402" w:usb2="00080002" w:usb3="00000000" w:csb0="00000001"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F1700F">
    <w:pPr>
      <w:widowControl w:val="0"/>
      <w:tabs>
        <w:tab w:val="center" w:pos="4153"/>
        <w:tab w:val="right" w:pos="8306"/>
      </w:tabs>
      <w:snapToGrid w:val="0"/>
      <w:jc w:val="center"/>
      <w:rPr>
        <w:rFonts w:hint="eastAsia" w:ascii="等线" w:hAnsi="等线" w:eastAsia="等线" w:cs="Times New Roman"/>
        <w:kern w:val="2"/>
        <w:sz w:val="18"/>
        <w:szCs w:val="18"/>
        <w:lang w:val="en-US" w:eastAsia="zh-CN" w:bidi="ar-SA"/>
      </w:rPr>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4EA98C">
                          <w:pPr>
                            <w:pStyle w:val="2"/>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654EA98C">
                    <w:pPr>
                      <w:pStyle w:val="2"/>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60DA7">
    <w:pPr>
      <w:spacing w:line="188" w:lineRule="auto"/>
      <w:ind w:left="7266"/>
      <w:rPr>
        <w:rFonts w:ascii="Microsoft Yi Baiti" w:hAnsi="Microsoft Yi Baiti" w:eastAsia="Microsoft Yi Baiti" w:cs="Microsoft Yi Baiti"/>
        <w:sz w:val="27"/>
        <w:szCs w:val="27"/>
      </w:rPr>
    </w:pPr>
    <w:r>
      <w:rPr>
        <w:sz w:val="27"/>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2D0BEE">
                          <w:pPr>
                            <w:pStyle w:val="2"/>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49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E2D0BEE">
                    <w:pPr>
                      <w:pStyle w:val="2"/>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49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D17512"/>
    <w:rsid w:val="00E97640"/>
    <w:rsid w:val="01B11272"/>
    <w:rsid w:val="02E754EC"/>
    <w:rsid w:val="035F5588"/>
    <w:rsid w:val="0448651A"/>
    <w:rsid w:val="07FC1608"/>
    <w:rsid w:val="09B52B76"/>
    <w:rsid w:val="09E96913"/>
    <w:rsid w:val="0BA65874"/>
    <w:rsid w:val="0C010CCD"/>
    <w:rsid w:val="0D145123"/>
    <w:rsid w:val="0DA0743A"/>
    <w:rsid w:val="0E9B6DAA"/>
    <w:rsid w:val="126E7CB6"/>
    <w:rsid w:val="12B777E4"/>
    <w:rsid w:val="12F36042"/>
    <w:rsid w:val="13AE6C39"/>
    <w:rsid w:val="14E346E3"/>
    <w:rsid w:val="15935C4D"/>
    <w:rsid w:val="16505D95"/>
    <w:rsid w:val="16F314F1"/>
    <w:rsid w:val="179B481B"/>
    <w:rsid w:val="1BC73A3A"/>
    <w:rsid w:val="1CD64F48"/>
    <w:rsid w:val="1D1121FA"/>
    <w:rsid w:val="1DD10DE3"/>
    <w:rsid w:val="1EDC6D7C"/>
    <w:rsid w:val="1F3F71D1"/>
    <w:rsid w:val="1F807BA2"/>
    <w:rsid w:val="231704F4"/>
    <w:rsid w:val="23836379"/>
    <w:rsid w:val="24F90706"/>
    <w:rsid w:val="2520104F"/>
    <w:rsid w:val="26BD02DC"/>
    <w:rsid w:val="26E00BBC"/>
    <w:rsid w:val="28277B20"/>
    <w:rsid w:val="283E7375"/>
    <w:rsid w:val="2B127E6E"/>
    <w:rsid w:val="2BCF1BA4"/>
    <w:rsid w:val="2C6D0398"/>
    <w:rsid w:val="2DC47728"/>
    <w:rsid w:val="2E925AD7"/>
    <w:rsid w:val="2F817AB6"/>
    <w:rsid w:val="2FB45466"/>
    <w:rsid w:val="31BB57A6"/>
    <w:rsid w:val="339B1E96"/>
    <w:rsid w:val="34C16D42"/>
    <w:rsid w:val="38093CF4"/>
    <w:rsid w:val="3A600E6E"/>
    <w:rsid w:val="3A7541F9"/>
    <w:rsid w:val="3B042863"/>
    <w:rsid w:val="3BC738FD"/>
    <w:rsid w:val="3C760918"/>
    <w:rsid w:val="3C7714F5"/>
    <w:rsid w:val="3D3A7F4D"/>
    <w:rsid w:val="3DA43FAB"/>
    <w:rsid w:val="3EEA2EDF"/>
    <w:rsid w:val="3F447220"/>
    <w:rsid w:val="409D238F"/>
    <w:rsid w:val="426943E0"/>
    <w:rsid w:val="42E979B3"/>
    <w:rsid w:val="42FC48EC"/>
    <w:rsid w:val="44FD167E"/>
    <w:rsid w:val="45AB5D85"/>
    <w:rsid w:val="47823AF0"/>
    <w:rsid w:val="484E064B"/>
    <w:rsid w:val="48EB1004"/>
    <w:rsid w:val="49B6662F"/>
    <w:rsid w:val="4B41315E"/>
    <w:rsid w:val="4BDD0AB4"/>
    <w:rsid w:val="4D14500A"/>
    <w:rsid w:val="4DB47C1D"/>
    <w:rsid w:val="4EB35F71"/>
    <w:rsid w:val="4EEE1088"/>
    <w:rsid w:val="4FD17945"/>
    <w:rsid w:val="50F669B4"/>
    <w:rsid w:val="533C2DE3"/>
    <w:rsid w:val="54976C54"/>
    <w:rsid w:val="562625E4"/>
    <w:rsid w:val="56F211C3"/>
    <w:rsid w:val="57310AC4"/>
    <w:rsid w:val="577E4D7C"/>
    <w:rsid w:val="57AA6077"/>
    <w:rsid w:val="57C75815"/>
    <w:rsid w:val="593365CA"/>
    <w:rsid w:val="59D14DE1"/>
    <w:rsid w:val="5A1D0D6F"/>
    <w:rsid w:val="5A5E0741"/>
    <w:rsid w:val="5AEE0D41"/>
    <w:rsid w:val="5B60264C"/>
    <w:rsid w:val="5DC34E01"/>
    <w:rsid w:val="5E230AC9"/>
    <w:rsid w:val="5F2E1793"/>
    <w:rsid w:val="5F775017"/>
    <w:rsid w:val="61BC1668"/>
    <w:rsid w:val="62ED72E2"/>
    <w:rsid w:val="633E0F26"/>
    <w:rsid w:val="634420AD"/>
    <w:rsid w:val="670747A8"/>
    <w:rsid w:val="679B0858"/>
    <w:rsid w:val="681A56BD"/>
    <w:rsid w:val="68DF53F7"/>
    <w:rsid w:val="6B8B10F7"/>
    <w:rsid w:val="6C3635C3"/>
    <w:rsid w:val="6D4437BB"/>
    <w:rsid w:val="6E5129A0"/>
    <w:rsid w:val="6EF900D3"/>
    <w:rsid w:val="708970E2"/>
    <w:rsid w:val="7152505D"/>
    <w:rsid w:val="71D339FF"/>
    <w:rsid w:val="725E0538"/>
    <w:rsid w:val="741407BE"/>
    <w:rsid w:val="74E047F8"/>
    <w:rsid w:val="768E6ABA"/>
    <w:rsid w:val="773B4DD7"/>
    <w:rsid w:val="79F631A3"/>
    <w:rsid w:val="7BE9446F"/>
    <w:rsid w:val="7C407FF3"/>
    <w:rsid w:val="7EBD6A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0</Words>
  <Characters>0</Characters>
  <Lines>0</Lines>
  <Paragraphs>0</Paragraphs>
  <TotalTime>0</TotalTime>
  <ScaleCrop>false</ScaleCrop>
  <LinksUpToDate>false</LinksUpToDate>
  <CharactersWithSpaces>0</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2024-07-10T03:15:00Z</dcterms:created>
  <dc:creator>Administrator</dc:creator>
  <cp:lastModifiedBy>达拉特旗人民政府(拟稿)</cp:lastModifiedBy>
  <dcterms:modified xsi:type="dcterms:W3CDTF">2026-05-21T01:58:26Z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8255C517A071483EA15BFD727DD6AAF6_12</vt:lpwstr>
  </property>
  <property fmtid="{D5CDD505-2E9C-101B-9397-08002B2CF9AE}" pid="4" name="KSOTemplateDocerSaveRecord">
    <vt:lpwstr>eyJoZGlkIjoiOTI5MjJhYWMwODk4NjUxMTcwZWFjNmRlN2FjMTJlNTUiLCJ1c2VySWQiOiIyNDc1MjUzMDgifQ==</vt:lpwstr>
  </property>
</Properties>
</file>