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F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359B4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达拉特旗人民政府关于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达拉特旗</w:t>
      </w:r>
    </w:p>
    <w:p w14:paraId="61F6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特色林果设施产业发展</w:t>
      </w:r>
    </w:p>
    <w:p w14:paraId="24717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实施方案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》的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通知</w:t>
      </w:r>
    </w:p>
    <w:p w14:paraId="5B98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仿宋_GB2312"/>
          <w:sz w:val="32"/>
          <w:lang w:eastAsia="zh-CN"/>
        </w:rPr>
      </w:pPr>
    </w:p>
    <w:p w14:paraId="5FC02A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仿宋_GB2312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1"/>
          <w:szCs w:val="31"/>
          <w:lang w:val="en-US" w:eastAsia="zh-CN"/>
        </w:rPr>
        <w:t>恩格贝生态示范区管委会、各苏木镇人民政府、旗直各有关部门</w:t>
      </w:r>
      <w:r>
        <w:rPr>
          <w:rFonts w:hint="eastAsia" w:ascii="Times New Roman" w:hAnsi="Times New Roman" w:eastAsia="仿宋_GB2312"/>
          <w:sz w:val="32"/>
          <w:lang w:eastAsia="zh-CN"/>
        </w:rPr>
        <w:t>：</w:t>
      </w:r>
    </w:p>
    <w:p w14:paraId="782FE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《达拉特旗2026年特色林果设施产业发展实施方案》经旗人民政府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年第1次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常务会议审议通过，现印发给你们，请结合实际，认真贯彻落实。</w:t>
      </w:r>
    </w:p>
    <w:p w14:paraId="024A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</w:pPr>
    </w:p>
    <w:p w14:paraId="75688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达拉特旗</w:t>
      </w:r>
      <w:r>
        <w:rPr>
          <w:rFonts w:hint="eastAsia" w:ascii="Times New Roman" w:hAnsi="Times New Roman" w:eastAsia="仿宋_GB2312"/>
          <w:sz w:val="32"/>
        </w:rPr>
        <w:t>人民政府</w:t>
      </w:r>
    </w:p>
    <w:p w14:paraId="28F0E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</w:rPr>
        <w:t>20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</w:rPr>
        <w:t>日</w:t>
      </w:r>
    </w:p>
    <w:p w14:paraId="5DE694ED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spacing w:line="560" w:lineRule="exact"/>
        <w:ind w:left="0" w:leftChars="0"/>
        <w:jc w:val="both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3854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达拉特旗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特色林果设施</w:t>
      </w:r>
    </w:p>
    <w:p w14:paraId="55446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产业发展实施方案</w:t>
      </w:r>
    </w:p>
    <w:p w14:paraId="4A79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 w14:paraId="73A80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深入贯彻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乡村振兴战略，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坚持以铸牢中华民族共同体意识为主线，全面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夯实乡村发展产业基础，进一步深化农业供给侧结构性改革，推进设施农业产业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发展，打造特色优势品牌，结合我旗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，特制定本方案。</w:t>
      </w:r>
    </w:p>
    <w:p w14:paraId="5B9E1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国标黑体" w:cs="国标黑体"/>
          <w:sz w:val="32"/>
          <w:szCs w:val="32"/>
          <w:lang w:eastAsia="zh-CN"/>
        </w:rPr>
      </w:pPr>
      <w:r>
        <w:rPr>
          <w:rFonts w:hint="eastAsia" w:ascii="Times New Roman" w:hAnsi="Times New Roman" w:eastAsia="国标黑体" w:cs="国标黑体"/>
          <w:sz w:val="32"/>
          <w:szCs w:val="32"/>
          <w:lang w:eastAsia="zh-CN"/>
        </w:rPr>
        <w:t>一、基本原则</w:t>
      </w:r>
    </w:p>
    <w:p w14:paraId="7035B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（一）坚持政府引导，市场运作。通过政府引导，充分发挥企业、合作社等新型经营主体的示范引领作用，通过建设试验示范区、开展社会化服务，提高产业组织化程度。</w:t>
      </w:r>
    </w:p>
    <w:p w14:paraId="1DA37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二）坚持要素并进，同步发展。注重产业链各环节和要素的同步发展，推动产业基地规模稳步扩大的同时，加大在种植、流通、科技、品牌等方面的投入力度，健全产业链条，通过多环节发展促进产业规模扩大、质量提升。</w:t>
      </w:r>
    </w:p>
    <w:p w14:paraId="125AF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（三）坚持绿色高质，突出特色。充分利用我旗光照充足、昼夜温差大、干燥凉爽等自然环境条件，重点抓好蓝莓、木瓜、樱桃等林果类作物的标准化生产，打好绿色高质品牌，提升产品市场竞争力。</w:t>
      </w:r>
    </w:p>
    <w:p w14:paraId="63059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国标黑体" w:cs="国标黑体"/>
          <w:sz w:val="32"/>
          <w:szCs w:val="32"/>
          <w:lang w:eastAsia="zh-CN"/>
        </w:rPr>
      </w:pPr>
      <w:r>
        <w:rPr>
          <w:rFonts w:hint="eastAsia" w:ascii="Times New Roman" w:hAnsi="Times New Roman" w:eastAsia="国标黑体" w:cs="国标黑体"/>
          <w:sz w:val="32"/>
          <w:szCs w:val="32"/>
          <w:lang w:eastAsia="zh-CN"/>
        </w:rPr>
        <w:t>二、总体目标</w:t>
      </w:r>
    </w:p>
    <w:p w14:paraId="24DA3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按照把达拉特旗建成鄂尔多斯市重要的林果生产基地的目标定位，充分发挥地区优势，突出地方特色，围绕全面推进林果全产业链发展，通过巩固扩大产业基地规模，完善产地流通市场，引入新型经营主体，补齐发展短板，创新科技服务，进一步健全和延伸产业链条，从而实现我旗林果产业高质量发展的目标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2026年，全旗蓝莓种植面积达到500亩，草莓种植面积稳定在100亩，樱桃种植面积稳定在50亩以上，木瓜种植面积达到30亩以上。</w:t>
      </w:r>
    </w:p>
    <w:p w14:paraId="144A5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国标黑体" w:cs="国标黑体"/>
          <w:sz w:val="32"/>
          <w:szCs w:val="32"/>
          <w:lang w:eastAsia="zh-CN"/>
        </w:rPr>
      </w:pPr>
      <w:r>
        <w:rPr>
          <w:rFonts w:hint="eastAsia" w:ascii="Times New Roman" w:hAnsi="Times New Roman" w:eastAsia="国标黑体" w:cs="国标黑体"/>
          <w:sz w:val="32"/>
          <w:szCs w:val="32"/>
          <w:lang w:eastAsia="zh-CN"/>
        </w:rPr>
        <w:t>三、重点任务</w:t>
      </w:r>
    </w:p>
    <w:p w14:paraId="6838B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稳步扩大产业基地规模。按照把达拉特旗建成鄂尔多斯西部地区水果生产基地的目标定位，充分发挥我旗光照充足、气候干燥、昼夜温差大和土气洁净等特点优势，主打品质牌，完善以乡镇为区域、以优势品种为重点的标准化生产基地建设。在产业区域布局上，以恩格贝示范园区和树林召镇为核心主产区，辐射带动周边苏木镇。在品种结构上，要进一步做强以草莓、蓝莓为代表的林果产业，稳步做大樱桃、木瓜等产业。同时，立足现有条件，做优做精设施林果产业。</w:t>
      </w:r>
    </w:p>
    <w:p w14:paraId="5E7E2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不断壮大专业技术队伍。坚持以“发展为要，人才为基”为核心，积极探索“人才+技术”服务新模式，着力构建符合区域实际、可持续发展的林果人才服务体系，为林果产业高质量发展注入持续动力。种植主体要选聘或者雇佣林果产业专业技术人员，包括从事果业管理多年的“土专家”“田秀才”，直接对接种植主体和示范园区，打通技术服务“最后一公里”。</w:t>
      </w:r>
    </w:p>
    <w:p w14:paraId="3BD01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国标黑体" w:cs="国标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鼓励创新合作经营模式。鼓励企业、合作社、家庭农场和种植大户等新型经营主体开展“公司+合作社+农户”的专用品种订单生产，建立龙头企业与农户之间的紧密型利益联结机制；鼓励龙头企业开展“产、学、研”结合的科技研发，引入新产品、新技术、新项目，建立高科技含量的分级包装、加工生产线，提升产品附加值；鼓励龙头企业积极开拓市场。逐步建成一批具有较高知名度的功能齐全、资源充足、交易活跃、辐射力强的交易市场。</w:t>
      </w:r>
    </w:p>
    <w:p w14:paraId="1CFA0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国标黑体" w:cs="国标黑体"/>
          <w:sz w:val="32"/>
          <w:szCs w:val="32"/>
          <w:lang w:eastAsia="zh-CN"/>
        </w:rPr>
      </w:pPr>
      <w:r>
        <w:rPr>
          <w:rFonts w:hint="eastAsia" w:ascii="Times New Roman" w:hAnsi="Times New Roman" w:eastAsia="国标黑体" w:cs="国标黑体"/>
          <w:sz w:val="32"/>
          <w:szCs w:val="32"/>
          <w:lang w:eastAsia="zh-CN"/>
        </w:rPr>
        <w:t>四、扶持政策</w:t>
      </w:r>
    </w:p>
    <w:p w14:paraId="438F55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eastAsia="zh-CN"/>
        </w:rPr>
        <w:t>支持设施建设，提升生产装备水平</w:t>
      </w:r>
    </w:p>
    <w:p w14:paraId="07547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1.支持新建设施农业。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对新建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30亩（含）以上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符合标准的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智能温室、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日光温室、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外保温塑料大棚、普通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塑料大棚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，按建设投入费用的30%给予补贴，补贴标准分别不超过200元/平方米、6万元/亩、3万元/亩、0.5万元/亩，单个项目补贴总额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2000万元。</w:t>
      </w:r>
    </w:p>
    <w:p w14:paraId="63430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2.支持设施改造提升。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对改造修缮10亩（含）以上老旧或闲置设施并投入使用水肥一体化、智能环控、无土栽培/立体栽培、专用农机具等关键设备的项目，按建设投入费用的30%给予补贴，最高不超过2万元/亩，单个项目补贴总额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1000万元。</w:t>
      </w:r>
    </w:p>
    <w:p w14:paraId="1798C4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（二）支持品种培优，提升种苗供给质量</w:t>
      </w:r>
    </w:p>
    <w:p w14:paraId="538BA6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3.支持集约化育苗与良种推广。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对新建或改扩建的年育苗能力500万株（含）以上的集约化育苗中心，按建设投入费用的30%给予补贴，单个项目补贴总额不超过50万元。对近3年选育或提纯复壮的当地设施作物品种且年推广面积稳定在100亩（含）以上的品种，按该品种种苗销售价格的30%给予补贴，单个品种补贴总额不超过200万元。</w:t>
      </w:r>
    </w:p>
    <w:p w14:paraId="5D2C1E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（三）支持标准化生产，提升设施产品品质</w:t>
      </w:r>
    </w:p>
    <w:p w14:paraId="452887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4.支持高附加值作物周年生产。</w:t>
      </w:r>
      <w:r>
        <w:rPr>
          <w:rFonts w:hint="eastAsia" w:ascii="Times New Roman" w:hAnsi="Times New Roman" w:eastAsia="仿宋_GB2312" w:cs="仿宋_GB2312"/>
          <w:color w:val="auto"/>
          <w:kern w:val="2"/>
          <w:sz w:val="36"/>
          <w:szCs w:val="36"/>
          <w:highlight w:val="none"/>
          <w:lang w:val="en-US" w:eastAsia="zh-CN" w:bidi="ar-SA"/>
        </w:rPr>
        <w:t>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持园区或基地发展单品类、高附加值产品周年稳定生产。对从事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设施草莓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蓝莓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、高品质口感番茄、精品瓜果等高附加值产品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周年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生产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实际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种植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规模达到30亩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（含）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以上的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设施农业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经营主体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，按2000元/亩的标准给予补贴，单个项目补贴总额不超过200万元；</w:t>
      </w:r>
    </w:p>
    <w:p w14:paraId="4E9E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5.支持冬春季食用菌及设施果蔬生产。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支持冬春季食用菌和设施果蔬标准化生产，提升稳产保供能力。对在冬春茬口采用标准化、绿色化模式种植食用菌或设施果蔬10亩（含）以上的设施农业经营主体，按食用菌、瓜果类、根菜叶菜类，分别给予2000元/亩、1000元/亩、400元/亩补贴，单个项目补贴总额不超过200万元。</w:t>
      </w:r>
    </w:p>
    <w:p w14:paraId="6EC3DC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（四）支持延链补链，提升品牌竞争力</w:t>
      </w:r>
    </w:p>
    <w:p w14:paraId="25B3B5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6.支持冷链设施建设。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对新建或改扩建的有效贮藏容积300立方米（含）以上的果蔬冷链仓储设施，按冷藏保鲜库200元/立方米、气调保鲜库400元/立方米的标准给予补贴，单个项目补贴总额不超过500万元。</w:t>
      </w:r>
    </w:p>
    <w:p w14:paraId="03A06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国标黑体" w:cs="国标黑体"/>
          <w:sz w:val="32"/>
          <w:szCs w:val="32"/>
          <w:lang w:eastAsia="zh-CN"/>
        </w:rPr>
      </w:pPr>
      <w:r>
        <w:rPr>
          <w:rFonts w:hint="eastAsia" w:ascii="Times New Roman" w:hAnsi="Times New Roman" w:eastAsia="国标黑体" w:cs="国标黑体"/>
          <w:sz w:val="32"/>
          <w:szCs w:val="32"/>
          <w:lang w:eastAsia="zh-CN"/>
        </w:rPr>
        <w:t>五、组织实施</w:t>
      </w:r>
    </w:p>
    <w:p w14:paraId="29C72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（一）强化组织领导。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加强各部门协调联动，明晰权责，建立工作协调运行机制，形成工作合力。旗农牧、林草等部门要成立工作领导小组和专家技术服务工作队，突出工作重点，做好技术支撑和服务。要做好产业总体规划，协调一二三产业融合发展。</w:t>
      </w:r>
    </w:p>
    <w:p w14:paraId="3DDA2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（二）加强资金保障。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按照乡村产业振兴的要求，要对特色林果设施产业发展重点给予政策和资金支持。依据产业发展情况，旗财政部门要统筹整合安排专项资金，建立资金保障机制，对产业发展核心苏木镇给予重点扶持，切实推动林果全产业链发展。</w:t>
      </w:r>
    </w:p>
    <w:p w14:paraId="1D767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（三）提升科技服务。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种植主体要立足专业优势，“产、学、研”相结合，积极与专业院校和科研院所合作，通过引进或参与研发等方式，提高我旗林果作物生产过程中新品种、新技术、新材料、新模式应用比例，促进产业提质增效。</w:t>
      </w:r>
    </w:p>
    <w:p w14:paraId="5DA15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（四）明确补贴方式。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采取“先建后补、以奖代补”方式实施，国家、自治区另有规定的，从其规定；同一主体（项目）满足本政策多项条件的本年度只可享受其中一项；同时符合市旗级其他政策条件的，按照就高、从优、不重复原则执行。</w:t>
      </w:r>
    </w:p>
    <w:p w14:paraId="2FBC9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8622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7DA2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52" w:leftChars="1596" w:firstLine="315" w:firstLineChars="150"/>
        <w:textAlignment w:val="auto"/>
        <w:rPr>
          <w:rFonts w:hint="eastAsia"/>
          <w:highlight w:val="none"/>
        </w:rPr>
      </w:pPr>
    </w:p>
    <w:p w14:paraId="288A5BE5"/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61B46">
    <w:pPr>
      <w:pStyle w:val="3"/>
      <w:rPr>
        <w:rStyle w:val="7"/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-216535</wp:posOffset>
              </wp:positionV>
              <wp:extent cx="1828800" cy="1828800"/>
              <wp:effectExtent l="0" t="0" r="0" b="0"/>
              <wp:wrapNone/>
              <wp:docPr id="3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4EFAAE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-17.0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WxczdUAAAAIAQAA&#10;DwAAAAAAAAABACAAAAAiAAAAZHJzL2Rvd25yZXYueG1sUEsBAhQAFAAAAAgAh07iQMABSuvjAQAA&#10;vAMAAA4AAAAAAAAAAQAgAAAAJA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EFAAE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5027295</wp:posOffset>
              </wp:positionH>
              <wp:positionV relativeFrom="paragraph">
                <wp:posOffset>-133985</wp:posOffset>
              </wp:positionV>
              <wp:extent cx="589280" cy="203835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280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59380FB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3" o:spid="_x0000_s1026" o:spt="202" type="#_x0000_t202" style="position:absolute;left:0pt;margin-left:395.85pt;margin-top:-10.55pt;height:16.05pt;width:46.4pt;mso-position-horizontal-relative:margin;z-index:251659264;mso-width-relative:page;mso-height-relative:page;" filled="f" stroked="f" coordsize="21600,21600" o:gfxdata="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FyeLbZAAAACgEAAA8AAAAAAAAAAQAgAAAAIgAAAGRy&#10;cy9kb3ducmV2LnhtbFBLAQIUABQAAAAIAIdO4kBptJaSywEAAIc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9380FB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0D3E6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8AD8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3A3FF7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0pt;margin-top:-9.9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29RyR2AAAAAgBAAAPAAAAAAAAAAEAIAAA&#10;ACIAAABkcnMvZG93bnJldi54bWxQSwECFAAUAAAACACHTuJAyotXP9MBAACmAwAADgAAAAAAAAAB&#10;ACAAAAAn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3A3FF7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7B8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-216535</wp:posOffset>
              </wp:positionV>
              <wp:extent cx="1828800" cy="1828800"/>
              <wp:effectExtent l="0" t="0" r="0" b="0"/>
              <wp:wrapNone/>
              <wp:docPr id="4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7154A9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-17.0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WxczdUAAAAIAQAA&#10;DwAAAAAAAAABACAAAAAiAAAAZHJzL2Rvd25yZXYueG1sUEsBAhQAFAAAAAgAh07iQNg2kPDjAQAA&#10;vAMAAA4AAAAAAAAAAQAgAAAAJA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154A9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79E776C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E230AC9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2026-05-19T07:23:08Z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