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70493">
      <w:pPr>
        <w:spacing w:line="289" w:lineRule="auto"/>
        <w:rPr>
          <w:rFonts w:ascii="Arial"/>
          <w:sz w:val="21"/>
        </w:rPr>
      </w:pPr>
    </w:p>
    <w:p w14:paraId="21E6F83F">
      <w:pPr>
        <w:spacing w:line="289" w:lineRule="auto"/>
        <w:rPr>
          <w:rFonts w:ascii="Arial"/>
          <w:sz w:val="21"/>
        </w:rPr>
      </w:pPr>
    </w:p>
    <w:p w14:paraId="01E23737">
      <w:pPr>
        <w:spacing w:line="289" w:lineRule="auto"/>
        <w:rPr>
          <w:rFonts w:ascii="Arial"/>
          <w:sz w:val="21"/>
        </w:rPr>
      </w:pPr>
    </w:p>
    <w:p w14:paraId="5197F8CE">
      <w:pPr>
        <w:pStyle w:val="2"/>
        <w:spacing w:before="101" w:line="224" w:lineRule="auto"/>
        <w:ind w:left="3302"/>
      </w:pPr>
      <w:r>
        <w:rPr>
          <w:spacing w:val="5"/>
        </w:rPr>
        <w:t>达政发〔</w:t>
      </w:r>
      <w:r>
        <w:rPr>
          <w:rFonts w:ascii="Times New Roman" w:hAnsi="Times New Roman" w:eastAsia="Times New Roman" w:cs="Times New Roman"/>
          <w:spacing w:val="5"/>
        </w:rPr>
        <w:t>2026</w:t>
      </w:r>
      <w:r>
        <w:rPr>
          <w:spacing w:val="5"/>
        </w:rPr>
        <w:t>〕</w:t>
      </w:r>
      <w:r>
        <w:rPr>
          <w:rFonts w:ascii="Times New Roman" w:hAnsi="Times New Roman" w:eastAsia="Times New Roman" w:cs="Times New Roman"/>
          <w:spacing w:val="5"/>
        </w:rPr>
        <w:t>10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5"/>
        </w:rPr>
        <w:t>号</w:t>
      </w:r>
    </w:p>
    <w:p w14:paraId="6305086A">
      <w:pPr>
        <w:spacing w:line="289" w:lineRule="auto"/>
        <w:rPr>
          <w:rFonts w:ascii="Arial"/>
          <w:sz w:val="21"/>
        </w:rPr>
      </w:pPr>
    </w:p>
    <w:p w14:paraId="2452C893">
      <w:pPr>
        <w:spacing w:line="290" w:lineRule="auto"/>
        <w:rPr>
          <w:rFonts w:ascii="Arial"/>
          <w:sz w:val="21"/>
        </w:rPr>
      </w:pPr>
    </w:p>
    <w:p w14:paraId="77E9604B">
      <w:pPr>
        <w:spacing w:before="167" w:line="187" w:lineRule="auto"/>
        <w:ind w:left="717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pacing w:val="9"/>
          <w:sz w:val="43"/>
          <w:szCs w:val="43"/>
        </w:rPr>
        <w:t>达拉特旗人民政府关于印发《达拉特旗</w:t>
      </w:r>
    </w:p>
    <w:p w14:paraId="1A320567">
      <w:pPr>
        <w:spacing w:before="1" w:line="179" w:lineRule="auto"/>
        <w:ind w:left="1380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pacing w:val="9"/>
          <w:sz w:val="43"/>
          <w:szCs w:val="43"/>
        </w:rPr>
        <w:t>鼓励高品质住宅建设的若干意见</w:t>
      </w:r>
    </w:p>
    <w:p w14:paraId="17AC835B">
      <w:pPr>
        <w:spacing w:before="1"/>
        <w:ind w:left="2781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pacing w:val="-17"/>
          <w:sz w:val="43"/>
          <w:szCs w:val="43"/>
        </w:rPr>
        <w:t>（试行）》的通知</w:t>
      </w:r>
    </w:p>
    <w:p w14:paraId="38F91F93">
      <w:pPr>
        <w:spacing w:line="252" w:lineRule="auto"/>
        <w:rPr>
          <w:rFonts w:ascii="Arial"/>
          <w:sz w:val="21"/>
        </w:rPr>
      </w:pPr>
    </w:p>
    <w:p w14:paraId="528E0D97">
      <w:pPr>
        <w:spacing w:line="252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128270</wp:posOffset>
            </wp:positionV>
            <wp:extent cx="5652135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5204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F44BAC">
      <w:pPr>
        <w:pStyle w:val="2"/>
        <w:spacing w:before="101" w:line="310" w:lineRule="auto"/>
        <w:ind w:left="14" w:right="1" w:hanging="2"/>
      </w:pPr>
      <w:r>
        <w:rPr>
          <w:spacing w:val="7"/>
        </w:rPr>
        <w:t>达拉特经济开发区管委会、恩格贝生态示范区管委会，各苏木镇</w:t>
      </w:r>
      <w:r>
        <w:rPr>
          <w:spacing w:val="6"/>
        </w:rPr>
        <w:t>人民政府，各街道办事处，旗直各相关部门，企事业单位：</w:t>
      </w:r>
    </w:p>
    <w:p w14:paraId="461692A8">
      <w:pPr>
        <w:pStyle w:val="2"/>
        <w:spacing w:before="4" w:line="308" w:lineRule="auto"/>
        <w:ind w:left="16" w:right="1" w:firstLine="629"/>
        <w:jc w:val="both"/>
      </w:pPr>
      <w:bookmarkStart w:id="0" w:name="_GoBack"/>
      <w:bookmarkEnd w:id="0"/>
      <w:r>
        <w:rPr>
          <w:spacing w:val="7"/>
        </w:rPr>
        <w:t>《达拉特旗鼓励高品质住宅建设的若干意见（试行）》已经</w:t>
      </w:r>
      <w:r>
        <w:rPr>
          <w:spacing w:val="5"/>
        </w:rPr>
        <w:t>旗委十六届</w:t>
      </w:r>
      <w:r>
        <w:rPr>
          <w:spacing w:val="-34"/>
        </w:rPr>
        <w:t xml:space="preserve"> </w:t>
      </w:r>
      <w:r>
        <w:rPr>
          <w:spacing w:val="5"/>
        </w:rPr>
        <w:t>144</w:t>
      </w:r>
      <w:r>
        <w:rPr>
          <w:spacing w:val="-45"/>
        </w:rPr>
        <w:t xml:space="preserve"> </w:t>
      </w:r>
      <w:r>
        <w:rPr>
          <w:spacing w:val="5"/>
        </w:rPr>
        <w:t>次常委会会议及旗人民政府</w:t>
      </w:r>
      <w:r>
        <w:rPr>
          <w:spacing w:val="-47"/>
        </w:rPr>
        <w:t xml:space="preserve"> </w:t>
      </w:r>
      <w:r>
        <w:rPr>
          <w:spacing w:val="5"/>
        </w:rPr>
        <w:t>2026</w:t>
      </w:r>
      <w:r>
        <w:rPr>
          <w:spacing w:val="-54"/>
        </w:rPr>
        <w:t xml:space="preserve"> </w:t>
      </w:r>
      <w:r>
        <w:rPr>
          <w:spacing w:val="5"/>
        </w:rPr>
        <w:t>年第</w:t>
      </w:r>
      <w:r>
        <w:rPr>
          <w:spacing w:val="-31"/>
        </w:rPr>
        <w:t xml:space="preserve"> </w:t>
      </w:r>
      <w:r>
        <w:rPr>
          <w:spacing w:val="5"/>
        </w:rPr>
        <w:t>3</w:t>
      </w:r>
      <w:r>
        <w:rPr>
          <w:spacing w:val="-48"/>
        </w:rPr>
        <w:t xml:space="preserve"> </w:t>
      </w:r>
      <w:r>
        <w:rPr>
          <w:spacing w:val="5"/>
        </w:rPr>
        <w:t>次常务</w:t>
      </w:r>
      <w:r>
        <w:rPr>
          <w:spacing w:val="9"/>
        </w:rPr>
        <w:t>会议审议通过，现印发给你们，请结合实际，认真贯</w:t>
      </w:r>
      <w:r>
        <w:rPr>
          <w:spacing w:val="8"/>
        </w:rPr>
        <w:t>彻落实。</w:t>
      </w:r>
    </w:p>
    <w:p w14:paraId="69EACFA0">
      <w:pPr>
        <w:spacing w:line="262" w:lineRule="auto"/>
        <w:rPr>
          <w:rFonts w:ascii="Arial"/>
          <w:sz w:val="21"/>
        </w:rPr>
      </w:pPr>
    </w:p>
    <w:p w14:paraId="7FBA71A4">
      <w:pPr>
        <w:spacing w:line="263" w:lineRule="auto"/>
        <w:rPr>
          <w:rFonts w:ascii="Arial"/>
          <w:sz w:val="21"/>
        </w:rPr>
      </w:pPr>
    </w:p>
    <w:p w14:paraId="4F1C8B1C">
      <w:pPr>
        <w:pStyle w:val="2"/>
        <w:spacing w:before="101" w:line="223" w:lineRule="auto"/>
        <w:ind w:left="5131"/>
      </w:pPr>
      <w:r>
        <w:rPr>
          <w:spacing w:val="8"/>
        </w:rPr>
        <w:t>达拉特旗人民政府</w:t>
      </w:r>
    </w:p>
    <w:p w14:paraId="52CF8661">
      <w:pPr>
        <w:pStyle w:val="2"/>
        <w:spacing w:before="144" w:line="222" w:lineRule="auto"/>
        <w:ind w:left="5312"/>
      </w:pPr>
      <w:r>
        <w:rPr>
          <w:spacing w:val="-8"/>
        </w:rPr>
        <w:t>2026</w:t>
      </w:r>
      <w:r>
        <w:rPr>
          <w:spacing w:val="-55"/>
        </w:rPr>
        <w:t xml:space="preserve"> </w:t>
      </w:r>
      <w:r>
        <w:rPr>
          <w:spacing w:val="-8"/>
        </w:rPr>
        <w:t>年</w:t>
      </w:r>
      <w:r>
        <w:rPr>
          <w:spacing w:val="-48"/>
        </w:rPr>
        <w:t xml:space="preserve"> </w:t>
      </w:r>
      <w:r>
        <w:rPr>
          <w:spacing w:val="-8"/>
        </w:rPr>
        <w:t>2</w:t>
      </w:r>
      <w:r>
        <w:rPr>
          <w:spacing w:val="-46"/>
        </w:rPr>
        <w:t xml:space="preserve"> </w:t>
      </w:r>
      <w:r>
        <w:rPr>
          <w:spacing w:val="-8"/>
        </w:rPr>
        <w:t>月</w:t>
      </w:r>
      <w:r>
        <w:rPr>
          <w:spacing w:val="-48"/>
        </w:rPr>
        <w:t xml:space="preserve"> </w:t>
      </w:r>
      <w:r>
        <w:rPr>
          <w:spacing w:val="-8"/>
        </w:rPr>
        <w:t>2 日</w:t>
      </w:r>
    </w:p>
    <w:p w14:paraId="256D597C">
      <w:pPr>
        <w:spacing w:line="222" w:lineRule="auto"/>
        <w:sectPr>
          <w:headerReference r:id="rId5" w:type="default"/>
          <w:pgSz w:w="11906" w:h="16838"/>
          <w:pgMar w:top="400" w:right="1473" w:bottom="0" w:left="1530" w:header="0" w:footer="0" w:gutter="0"/>
          <w:cols w:space="720" w:num="1"/>
        </w:sectPr>
      </w:pPr>
    </w:p>
    <w:p w14:paraId="45FB9FA3">
      <w:pPr>
        <w:spacing w:line="255" w:lineRule="auto"/>
        <w:rPr>
          <w:rFonts w:ascii="Arial"/>
          <w:sz w:val="21"/>
        </w:rPr>
      </w:pPr>
    </w:p>
    <w:p w14:paraId="0C3AC2B6">
      <w:pPr>
        <w:spacing w:line="256" w:lineRule="auto"/>
        <w:rPr>
          <w:rFonts w:ascii="Arial"/>
          <w:sz w:val="21"/>
        </w:rPr>
      </w:pPr>
    </w:p>
    <w:p w14:paraId="6D6FB6B7">
      <w:pPr>
        <w:spacing w:line="256" w:lineRule="auto"/>
        <w:rPr>
          <w:rFonts w:ascii="Arial"/>
          <w:sz w:val="21"/>
        </w:rPr>
      </w:pPr>
    </w:p>
    <w:p w14:paraId="09DA4616">
      <w:pPr>
        <w:spacing w:line="256" w:lineRule="auto"/>
        <w:rPr>
          <w:rFonts w:ascii="Arial"/>
          <w:sz w:val="21"/>
        </w:rPr>
      </w:pPr>
    </w:p>
    <w:p w14:paraId="3B533874">
      <w:pPr>
        <w:spacing w:line="256" w:lineRule="auto"/>
        <w:rPr>
          <w:rFonts w:ascii="Arial"/>
          <w:sz w:val="21"/>
        </w:rPr>
      </w:pPr>
    </w:p>
    <w:p w14:paraId="3A5DF0B9">
      <w:pPr>
        <w:spacing w:line="256" w:lineRule="auto"/>
        <w:rPr>
          <w:rFonts w:ascii="Arial"/>
          <w:sz w:val="21"/>
        </w:rPr>
      </w:pPr>
    </w:p>
    <w:p w14:paraId="56DD9727">
      <w:pPr>
        <w:spacing w:before="167" w:line="208" w:lineRule="auto"/>
        <w:ind w:left="924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pacing w:val="9"/>
          <w:sz w:val="43"/>
          <w:szCs w:val="43"/>
        </w:rPr>
        <w:t>关于鼓励高品质住宅建设的若干意见</w:t>
      </w:r>
    </w:p>
    <w:p w14:paraId="7A0E17DF">
      <w:pPr>
        <w:spacing w:before="207" w:line="227" w:lineRule="auto"/>
        <w:ind w:left="3727"/>
        <w:outlineLvl w:val="1"/>
        <w:rPr>
          <w:rFonts w:ascii="楷体" w:hAnsi="楷体" w:eastAsia="楷体" w:cs="楷体"/>
          <w:sz w:val="35"/>
          <w:szCs w:val="35"/>
        </w:rPr>
      </w:pPr>
      <w:r>
        <w:rPr>
          <w:rFonts w:ascii="楷体" w:hAnsi="楷体" w:eastAsia="楷体" w:cs="楷体"/>
          <w:spacing w:val="7"/>
          <w:sz w:val="35"/>
          <w:szCs w:val="35"/>
        </w:rPr>
        <w:t>（试行）</w:t>
      </w:r>
    </w:p>
    <w:p w14:paraId="2A8931F3">
      <w:pPr>
        <w:pStyle w:val="2"/>
        <w:spacing w:before="326" w:line="333" w:lineRule="auto"/>
        <w:ind w:right="160" w:firstLine="655"/>
        <w:jc w:val="both"/>
      </w:pPr>
      <w:r>
        <w:rPr>
          <w:spacing w:val="4"/>
        </w:rPr>
        <w:t>为深入贯彻落实中央、</w:t>
      </w:r>
      <w:r>
        <w:rPr>
          <w:spacing w:val="-82"/>
        </w:rPr>
        <w:t xml:space="preserve"> </w:t>
      </w:r>
      <w:r>
        <w:rPr>
          <w:spacing w:val="4"/>
        </w:rPr>
        <w:t>自治区、市委城市工作会议精神，按</w:t>
      </w:r>
      <w:r>
        <w:rPr>
          <w:spacing w:val="-11"/>
        </w:rPr>
        <w:t>照《内蒙古自治区高品质住宅开发建设指导意见》（</w:t>
      </w:r>
      <w:r>
        <w:rPr>
          <w:spacing w:val="-54"/>
        </w:rPr>
        <w:t xml:space="preserve"> </w:t>
      </w:r>
      <w:r>
        <w:rPr>
          <w:spacing w:val="-11"/>
        </w:rPr>
        <w:t>内建房〔2</w:t>
      </w:r>
      <w:r>
        <w:rPr>
          <w:spacing w:val="-12"/>
        </w:rPr>
        <w:t>024〕</w:t>
      </w:r>
      <w:r>
        <w:t xml:space="preserve"> </w:t>
      </w:r>
      <w:r>
        <w:rPr>
          <w:spacing w:val="9"/>
        </w:rPr>
        <w:t>178</w:t>
      </w:r>
      <w:r>
        <w:rPr>
          <w:spacing w:val="-48"/>
        </w:rPr>
        <w:t xml:space="preserve"> </w:t>
      </w:r>
      <w:r>
        <w:rPr>
          <w:spacing w:val="9"/>
        </w:rPr>
        <w:t>号）及《鄂尔多斯市人民政府关于进一步优化政策措施促进</w:t>
      </w:r>
      <w:r>
        <w:rPr>
          <w:spacing w:val="3"/>
        </w:rPr>
        <w:t>房地产业高质量发展的意见》（鄂府发〔2025〕34</w:t>
      </w:r>
      <w:r>
        <w:rPr>
          <w:spacing w:val="-38"/>
        </w:rPr>
        <w:t xml:space="preserve"> </w:t>
      </w:r>
      <w:r>
        <w:rPr>
          <w:spacing w:val="3"/>
        </w:rPr>
        <w:t>号）等文件要</w:t>
      </w:r>
      <w:r>
        <w:rPr>
          <w:spacing w:val="7"/>
        </w:rPr>
        <w:t>求，全面提升我旗城市居住环境与住宅建设品质，更好满足人民</w:t>
      </w:r>
      <w:r>
        <w:rPr>
          <w:spacing w:val="2"/>
        </w:rPr>
        <w:t>群众对美好生活的期待，推动新建住宅品质提升，探索“好</w:t>
      </w:r>
      <w:r>
        <w:rPr>
          <w:spacing w:val="1"/>
        </w:rPr>
        <w:t>房子、</w:t>
      </w:r>
      <w:r>
        <w:rPr>
          <w:spacing w:val="7"/>
        </w:rPr>
        <w:t>好小区、好社区、好城区”发展路径，结合我旗实际，制定本意</w:t>
      </w:r>
      <w:r>
        <w:rPr>
          <w:spacing w:val="-15"/>
        </w:rPr>
        <w:t>见。</w:t>
      </w:r>
    </w:p>
    <w:p w14:paraId="54B907FB">
      <w:pPr>
        <w:spacing w:line="227" w:lineRule="auto"/>
        <w:ind w:left="65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一、精准优化土地供应</w:t>
      </w:r>
    </w:p>
    <w:p w14:paraId="4A679852">
      <w:pPr>
        <w:pStyle w:val="2"/>
        <w:spacing w:before="177" w:line="321" w:lineRule="auto"/>
        <w:ind w:left="1" w:firstLine="636"/>
      </w:pPr>
      <w:r>
        <w:rPr>
          <w:rFonts w:ascii="楷体" w:hAnsi="楷体" w:eastAsia="楷体" w:cs="楷体"/>
          <w:b/>
          <w:bCs/>
          <w:spacing w:val="6"/>
        </w:rPr>
        <w:t>（一）科学调控土地供应。</w:t>
      </w:r>
      <w:r>
        <w:rPr>
          <w:spacing w:val="6"/>
        </w:rPr>
        <w:t>严格落实“以人定房、以房</w:t>
      </w:r>
      <w:r>
        <w:rPr>
          <w:spacing w:val="5"/>
        </w:rPr>
        <w:t>定地”</w:t>
      </w:r>
      <w:r>
        <w:rPr>
          <w:spacing w:val="7"/>
        </w:rPr>
        <w:t>机制，住建部门牵头建立人口动态监测与住房需求研判体系，联</w:t>
      </w:r>
      <w:r>
        <w:rPr>
          <w:spacing w:val="4"/>
        </w:rPr>
        <w:t xml:space="preserve"> </w:t>
      </w:r>
      <w:r>
        <w:rPr>
          <w:spacing w:val="7"/>
        </w:rPr>
        <w:t>合自然资源部门编制年度城镇住房发展规划和用地供应计划，精</w:t>
      </w:r>
      <w:r>
        <w:rPr>
          <w:spacing w:val="4"/>
        </w:rPr>
        <w:t xml:space="preserve"> </w:t>
      </w:r>
      <w:r>
        <w:rPr>
          <w:spacing w:val="7"/>
        </w:rPr>
        <w:t>准匹配公共基础设施、工业、住宅、商业等用地比例与布局。优</w:t>
      </w:r>
      <w:r>
        <w:rPr>
          <w:spacing w:val="4"/>
        </w:rPr>
        <w:t xml:space="preserve"> </w:t>
      </w:r>
      <w:r>
        <w:rPr>
          <w:spacing w:val="7"/>
        </w:rPr>
        <w:t>化商品住宅用地供应调控机制，去化周期超过</w:t>
      </w:r>
      <w:r>
        <w:rPr>
          <w:spacing w:val="-28"/>
        </w:rPr>
        <w:t xml:space="preserve"> </w:t>
      </w:r>
      <w:r>
        <w:rPr>
          <w:spacing w:val="7"/>
        </w:rPr>
        <w:t>36</w:t>
      </w:r>
      <w:r>
        <w:rPr>
          <w:spacing w:val="-58"/>
        </w:rPr>
        <w:t xml:space="preserve"> </w:t>
      </w:r>
      <w:r>
        <w:rPr>
          <w:spacing w:val="7"/>
        </w:rPr>
        <w:t>个月，暂停新</w:t>
      </w:r>
      <w:r>
        <w:t xml:space="preserve"> </w:t>
      </w:r>
      <w:r>
        <w:rPr>
          <w:spacing w:val="3"/>
        </w:rPr>
        <w:t>增商品住宅用地出让；18</w:t>
      </w:r>
      <w:r>
        <w:rPr>
          <w:spacing w:val="-57"/>
        </w:rPr>
        <w:t xml:space="preserve"> </w:t>
      </w:r>
      <w:r>
        <w:rPr>
          <w:spacing w:val="3"/>
        </w:rPr>
        <w:t>个月（不含）至</w:t>
      </w:r>
      <w:r>
        <w:rPr>
          <w:spacing w:val="2"/>
        </w:rPr>
        <w:t xml:space="preserve"> 36</w:t>
      </w:r>
      <w:r>
        <w:rPr>
          <w:spacing w:val="-60"/>
        </w:rPr>
        <w:t xml:space="preserve"> </w:t>
      </w:r>
      <w:r>
        <w:rPr>
          <w:spacing w:val="2"/>
        </w:rPr>
        <w:t>个月，按</w:t>
      </w:r>
      <w:r>
        <w:rPr>
          <w:spacing w:val="-82"/>
        </w:rPr>
        <w:t xml:space="preserve"> </w:t>
      </w:r>
      <w:r>
        <w:rPr>
          <w:spacing w:val="2"/>
        </w:rPr>
        <w:t>“盘活多</w:t>
      </w:r>
      <w:r>
        <w:t xml:space="preserve"> </w:t>
      </w:r>
      <w:r>
        <w:rPr>
          <w:spacing w:val="7"/>
        </w:rPr>
        <w:t>少、供应多少”原则，依据年度存量商品住宅用地盘活面积（含</w:t>
      </w:r>
      <w:r>
        <w:rPr>
          <w:spacing w:val="4"/>
        </w:rPr>
        <w:t xml:space="preserve"> </w:t>
      </w:r>
      <w:r>
        <w:rPr>
          <w:spacing w:val="7"/>
        </w:rPr>
        <w:t>竣工、收回）动态确定新增出让上限。根据非住宅用地存量以及</w:t>
      </w:r>
      <w:r>
        <w:rPr>
          <w:spacing w:val="4"/>
        </w:rPr>
        <w:t xml:space="preserve"> </w:t>
      </w:r>
      <w:r>
        <w:rPr>
          <w:spacing w:val="2"/>
        </w:rPr>
        <w:t>待售库存，</w:t>
      </w:r>
      <w:r>
        <w:rPr>
          <w:spacing w:val="-88"/>
        </w:rPr>
        <w:t xml:space="preserve"> </w:t>
      </w:r>
      <w:r>
        <w:rPr>
          <w:spacing w:val="2"/>
        </w:rPr>
        <w:t>审慎新增非住宅用地供应。</w:t>
      </w:r>
    </w:p>
    <w:p w14:paraId="68DB9D01">
      <w:pPr>
        <w:pStyle w:val="2"/>
        <w:spacing w:before="194" w:line="277" w:lineRule="auto"/>
        <w:ind w:left="44" w:right="313" w:firstLine="592"/>
      </w:pPr>
      <w:r>
        <w:rPr>
          <w:rFonts w:ascii="楷体" w:hAnsi="楷体" w:eastAsia="楷体" w:cs="楷体"/>
          <w:b/>
          <w:bCs/>
          <w:spacing w:val="6"/>
        </w:rPr>
        <w:t>（二）优化土地出让方式。</w:t>
      </w:r>
      <w:r>
        <w:rPr>
          <w:spacing w:val="6"/>
        </w:rPr>
        <w:t>新出让商品住宅用地可采</w:t>
      </w:r>
      <w:r>
        <w:rPr>
          <w:spacing w:val="5"/>
        </w:rPr>
        <w:t>取“定</w:t>
      </w:r>
      <w:r>
        <w:rPr>
          <w:spacing w:val="6"/>
        </w:rPr>
        <w:t>品质、竞地价”的出让方式，由住建局等相关部门提出供应土地</w:t>
      </w:r>
    </w:p>
    <w:p w14:paraId="7F31548C">
      <w:pPr>
        <w:spacing w:line="277" w:lineRule="auto"/>
        <w:sectPr>
          <w:headerReference r:id="rId6" w:type="default"/>
          <w:footerReference r:id="rId7" w:type="default"/>
          <w:pgSz w:w="11906" w:h="16838"/>
          <w:pgMar w:top="400" w:right="1159" w:bottom="1315" w:left="1538" w:header="0" w:footer="949" w:gutter="0"/>
          <w:cols w:space="720" w:num="1"/>
        </w:sectPr>
      </w:pPr>
    </w:p>
    <w:p w14:paraId="58AE7839">
      <w:pPr>
        <w:spacing w:line="243" w:lineRule="auto"/>
        <w:rPr>
          <w:rFonts w:ascii="Arial"/>
          <w:sz w:val="21"/>
        </w:rPr>
      </w:pPr>
    </w:p>
    <w:p w14:paraId="6ABDB23D">
      <w:pPr>
        <w:spacing w:line="244" w:lineRule="auto"/>
        <w:rPr>
          <w:rFonts w:ascii="Arial"/>
          <w:sz w:val="21"/>
        </w:rPr>
      </w:pPr>
    </w:p>
    <w:p w14:paraId="317D854A">
      <w:pPr>
        <w:spacing w:line="244" w:lineRule="auto"/>
        <w:rPr>
          <w:rFonts w:ascii="Arial"/>
          <w:sz w:val="21"/>
        </w:rPr>
      </w:pPr>
    </w:p>
    <w:p w14:paraId="04AFB5FC">
      <w:pPr>
        <w:spacing w:line="244" w:lineRule="auto"/>
        <w:rPr>
          <w:rFonts w:ascii="Arial"/>
          <w:sz w:val="21"/>
        </w:rPr>
      </w:pPr>
    </w:p>
    <w:p w14:paraId="1DB8AEFA">
      <w:pPr>
        <w:spacing w:line="244" w:lineRule="auto"/>
        <w:rPr>
          <w:rFonts w:ascii="Arial"/>
          <w:sz w:val="21"/>
        </w:rPr>
      </w:pPr>
    </w:p>
    <w:p w14:paraId="28DFCEC3">
      <w:pPr>
        <w:spacing w:line="244" w:lineRule="auto"/>
        <w:rPr>
          <w:rFonts w:ascii="Arial"/>
          <w:sz w:val="21"/>
        </w:rPr>
      </w:pPr>
    </w:p>
    <w:p w14:paraId="2154B557">
      <w:pPr>
        <w:spacing w:line="244" w:lineRule="auto"/>
        <w:rPr>
          <w:rFonts w:ascii="Arial"/>
          <w:sz w:val="21"/>
        </w:rPr>
      </w:pPr>
    </w:p>
    <w:p w14:paraId="54814788">
      <w:pPr>
        <w:pStyle w:val="2"/>
        <w:spacing w:before="100" w:line="333" w:lineRule="auto"/>
        <w:ind w:right="2" w:firstLine="33"/>
        <w:jc w:val="both"/>
      </w:pPr>
      <w:r>
        <w:rPr>
          <w:spacing w:val="6"/>
        </w:rPr>
        <w:t>的住宅品质的标准要求，由自然资源部门将住宅品质、公共服务</w:t>
      </w:r>
      <w:r>
        <w:rPr>
          <w:spacing w:val="7"/>
        </w:rPr>
        <w:t>设施配建要求、建设时序、移交主体和产权归属等内容纳入土地供应方案，作为国有建设用地使用权出让的条件和依据。新出让商品住宅用地土地出让金，房地产企业可以采取分期方式支付。</w:t>
      </w:r>
    </w:p>
    <w:p w14:paraId="42B6BF48">
      <w:pPr>
        <w:pStyle w:val="2"/>
        <w:spacing w:before="1" w:line="321" w:lineRule="auto"/>
        <w:ind w:left="4" w:firstLine="634"/>
      </w:pPr>
      <w:r>
        <w:rPr>
          <w:rFonts w:ascii="楷体" w:hAnsi="楷体" w:eastAsia="楷体" w:cs="楷体"/>
          <w:b/>
          <w:bCs/>
          <w:spacing w:val="4"/>
        </w:rPr>
        <w:t>（三）鼓励旧城改造开发。</w:t>
      </w:r>
      <w:r>
        <w:rPr>
          <w:spacing w:val="4"/>
        </w:rPr>
        <w:t>按照</w:t>
      </w:r>
      <w:r>
        <w:rPr>
          <w:spacing w:val="-101"/>
        </w:rPr>
        <w:t xml:space="preserve"> </w:t>
      </w:r>
      <w:r>
        <w:rPr>
          <w:spacing w:val="4"/>
        </w:rPr>
        <w:t>“拆除新建、整治提升、拆</w:t>
      </w:r>
      <w:r>
        <w:rPr>
          <w:spacing w:val="7"/>
        </w:rPr>
        <w:t>整结合”原则，优先审批旧城改造及城市更新开发项目，结合商品住宅去化周期整体情况，科学优化净地开发项目审批安排，积极引导房地产开发资源向旧城改造领域集聚。旧城改造项目用地可兼容一定比例的净地面积，并允许结合项目实际，灵活选取相邻或非相邻地块实施原址回迁、一体开发，相关项目规划设计工作同步推进，净地部分与改造部分统筹施工、同步推进。旧城改造项目优先推进回迁安置工作，待回迁安置全部完成后，剩余房源按规定进行销售。</w:t>
      </w:r>
    </w:p>
    <w:p w14:paraId="6F0C4E70">
      <w:pPr>
        <w:pStyle w:val="2"/>
        <w:spacing w:before="190" w:line="305" w:lineRule="auto"/>
        <w:ind w:left="3" w:firstLine="635"/>
      </w:pPr>
      <w:r>
        <w:rPr>
          <w:rFonts w:ascii="楷体" w:hAnsi="楷体" w:eastAsia="楷体" w:cs="楷体"/>
          <w:b/>
          <w:bCs/>
          <w:spacing w:val="5"/>
        </w:rPr>
        <w:t>（四）健全土地招拍挂准入审核机制。</w:t>
      </w:r>
      <w:r>
        <w:rPr>
          <w:spacing w:val="5"/>
        </w:rPr>
        <w:t>将企业信用评价、涉</w:t>
      </w:r>
      <w:r>
        <w:rPr>
          <w:spacing w:val="7"/>
        </w:rPr>
        <w:t>法涉诉情况、违规建设记录、逾期交付情况等作为重要参考，限制停工烂尾、重大债务风险等出险企业参与新地块出让。建立购地资金审查制度，确保房地产企业使用合规自有资金购地。</w:t>
      </w:r>
    </w:p>
    <w:p w14:paraId="6EFA0118">
      <w:pPr>
        <w:spacing w:before="189" w:line="226" w:lineRule="auto"/>
        <w:ind w:left="65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二、优化审批流程</w:t>
      </w:r>
    </w:p>
    <w:p w14:paraId="51AF6273">
      <w:pPr>
        <w:pStyle w:val="2"/>
        <w:spacing w:before="177" w:line="334" w:lineRule="auto"/>
        <w:ind w:left="4" w:right="2" w:firstLine="634"/>
      </w:pPr>
      <w:r>
        <w:rPr>
          <w:rFonts w:ascii="楷体" w:hAnsi="楷体" w:eastAsia="楷体" w:cs="楷体"/>
          <w:b/>
          <w:bCs/>
          <w:spacing w:val="6"/>
        </w:rPr>
        <w:t>（五）优化建设审批程序。</w:t>
      </w:r>
      <w:r>
        <w:rPr>
          <w:spacing w:val="6"/>
        </w:rPr>
        <w:t>支持旧城改造项目在规划设计方</w:t>
      </w:r>
      <w:r>
        <w:rPr>
          <w:spacing w:val="7"/>
        </w:rPr>
        <w:t>案审定、征拆工作完成后，对于符合日照、建筑间距、消防、人防相关规范要求，且取得基础部分施工图审查合格意见、落实安全施工保障措施的前提下，可开展场平、临建搭设等前期工序。开设旧城改造项目审批绿色通道，优化土地、人防、规划许可、</w:t>
      </w:r>
    </w:p>
    <w:p w14:paraId="58087C98">
      <w:pPr>
        <w:spacing w:line="334" w:lineRule="auto"/>
        <w:sectPr>
          <w:footerReference r:id="rId8" w:type="default"/>
          <w:pgSz w:w="11906" w:h="16838"/>
          <w:pgMar w:top="400" w:right="1470" w:bottom="1315" w:left="1537" w:header="0" w:footer="951" w:gutter="0"/>
          <w:cols w:space="720" w:num="1"/>
        </w:sectPr>
      </w:pPr>
    </w:p>
    <w:p w14:paraId="21789E46">
      <w:pPr>
        <w:spacing w:line="243" w:lineRule="auto"/>
        <w:rPr>
          <w:rFonts w:ascii="Arial"/>
          <w:sz w:val="21"/>
        </w:rPr>
      </w:pPr>
    </w:p>
    <w:p w14:paraId="084F1F83">
      <w:pPr>
        <w:spacing w:line="243" w:lineRule="auto"/>
        <w:rPr>
          <w:rFonts w:ascii="Arial"/>
          <w:sz w:val="21"/>
        </w:rPr>
      </w:pPr>
    </w:p>
    <w:p w14:paraId="66578F61">
      <w:pPr>
        <w:spacing w:line="243" w:lineRule="auto"/>
        <w:rPr>
          <w:rFonts w:ascii="Arial"/>
          <w:sz w:val="21"/>
        </w:rPr>
      </w:pPr>
    </w:p>
    <w:p w14:paraId="4BF5E36E">
      <w:pPr>
        <w:spacing w:line="243" w:lineRule="auto"/>
        <w:rPr>
          <w:rFonts w:ascii="Arial"/>
          <w:sz w:val="21"/>
        </w:rPr>
      </w:pPr>
    </w:p>
    <w:p w14:paraId="27CC5D79">
      <w:pPr>
        <w:spacing w:line="244" w:lineRule="auto"/>
        <w:rPr>
          <w:rFonts w:ascii="Arial"/>
          <w:sz w:val="21"/>
        </w:rPr>
      </w:pPr>
    </w:p>
    <w:p w14:paraId="35D53BAB">
      <w:pPr>
        <w:spacing w:line="244" w:lineRule="auto"/>
        <w:rPr>
          <w:rFonts w:ascii="Arial"/>
          <w:sz w:val="21"/>
        </w:rPr>
      </w:pPr>
    </w:p>
    <w:p w14:paraId="46D91F95">
      <w:pPr>
        <w:spacing w:line="244" w:lineRule="auto"/>
        <w:rPr>
          <w:rFonts w:ascii="Arial"/>
          <w:sz w:val="21"/>
        </w:rPr>
      </w:pPr>
    </w:p>
    <w:p w14:paraId="625E1114">
      <w:pPr>
        <w:pStyle w:val="2"/>
        <w:spacing w:before="100" w:line="334" w:lineRule="auto"/>
        <w:ind w:left="7" w:right="84" w:hanging="2"/>
      </w:pPr>
      <w:r>
        <w:rPr>
          <w:spacing w:val="7"/>
        </w:rPr>
        <w:t>施工许可等审批流程，提升审批效率、加快手续办理，全力保障</w:t>
      </w:r>
      <w:r>
        <w:rPr>
          <w:spacing w:val="6"/>
        </w:rPr>
        <w:t>项目建设顺利推进。</w:t>
      </w:r>
    </w:p>
    <w:p w14:paraId="5D223321">
      <w:pPr>
        <w:pStyle w:val="2"/>
        <w:spacing w:before="8" w:line="314" w:lineRule="auto"/>
        <w:ind w:left="3" w:firstLine="632"/>
      </w:pPr>
      <w:r>
        <w:rPr>
          <w:rFonts w:ascii="楷体" w:hAnsi="楷体" w:eastAsia="楷体" w:cs="楷体"/>
          <w:b/>
          <w:bCs/>
          <w:spacing w:val="2"/>
        </w:rPr>
        <w:t>（六）推行高效分批审核。</w:t>
      </w:r>
      <w:r>
        <w:rPr>
          <w:spacing w:val="2"/>
        </w:rPr>
        <w:t>房地产开发项目全流程实行</w:t>
      </w:r>
      <w:r>
        <w:rPr>
          <w:spacing w:val="-84"/>
        </w:rPr>
        <w:t xml:space="preserve"> </w:t>
      </w:r>
      <w:r>
        <w:rPr>
          <w:spacing w:val="2"/>
        </w:rPr>
        <w:t>“</w:t>
      </w:r>
      <w:r>
        <w:rPr>
          <w:spacing w:val="-120"/>
        </w:rPr>
        <w:t xml:space="preserve"> </w:t>
      </w:r>
      <w:r>
        <w:rPr>
          <w:spacing w:val="2"/>
        </w:rPr>
        <w:t>一</w:t>
      </w:r>
      <w:r>
        <w:rPr>
          <w:spacing w:val="7"/>
        </w:rPr>
        <w:t>次性告知、一套申请材料、完成多项审批”的在线办理模式，限</w:t>
      </w:r>
      <w:r>
        <w:rPr>
          <w:spacing w:val="-1"/>
        </w:rPr>
        <w:t>时办结。推行项目分期验收，在消防、水电等满足要求的前提下，</w:t>
      </w:r>
      <w:r>
        <w:rPr>
          <w:spacing w:val="7"/>
        </w:rPr>
        <w:t>责任主体主动申请并作出可追溯承诺后，可依法依规开展分期验收。住宅配套公共服务用房须一体配置应有功能，与商品房同步</w:t>
      </w:r>
      <w:r>
        <w:rPr>
          <w:spacing w:val="5"/>
        </w:rPr>
        <w:t>设计、首期建设、同步交付。</w:t>
      </w:r>
    </w:p>
    <w:p w14:paraId="78697ADB">
      <w:pPr>
        <w:pStyle w:val="2"/>
        <w:spacing w:before="188" w:line="296" w:lineRule="auto"/>
        <w:ind w:left="5" w:right="79" w:firstLine="631"/>
      </w:pPr>
      <w:r>
        <w:rPr>
          <w:b/>
          <w:bCs/>
          <w:spacing w:val="2"/>
        </w:rPr>
        <w:t>（七）深化</w:t>
      </w:r>
      <w:r>
        <w:rPr>
          <w:spacing w:val="-96"/>
        </w:rPr>
        <w:t xml:space="preserve"> </w:t>
      </w:r>
      <w:r>
        <w:rPr>
          <w:b/>
          <w:bCs/>
          <w:spacing w:val="2"/>
        </w:rPr>
        <w:t>“交房即交证”</w:t>
      </w:r>
      <w:r>
        <w:rPr>
          <w:spacing w:val="-118"/>
        </w:rPr>
        <w:t xml:space="preserve"> </w:t>
      </w:r>
      <w:r>
        <w:rPr>
          <w:b/>
          <w:bCs/>
          <w:spacing w:val="2"/>
        </w:rPr>
        <w:t>改革。</w:t>
      </w:r>
      <w:r>
        <w:rPr>
          <w:spacing w:val="2"/>
        </w:rPr>
        <w:t>鼓励企业在网签合同中明</w:t>
      </w:r>
      <w:r>
        <w:rPr>
          <w:spacing w:val="6"/>
        </w:rPr>
        <w:t>确</w:t>
      </w:r>
      <w:r>
        <w:rPr>
          <w:spacing w:val="-114"/>
        </w:rPr>
        <w:t xml:space="preserve"> </w:t>
      </w:r>
      <w:r>
        <w:rPr>
          <w:spacing w:val="6"/>
        </w:rPr>
        <w:t>“交房即交证”条款，将规划核实、消防验收、档案验</w:t>
      </w:r>
      <w:r>
        <w:rPr>
          <w:spacing w:val="5"/>
        </w:rPr>
        <w:t>收等纳</w:t>
      </w:r>
      <w:r>
        <w:rPr>
          <w:spacing w:val="6"/>
        </w:rPr>
        <w:t>入联合验收，实现交房与办证同步。</w:t>
      </w:r>
    </w:p>
    <w:p w14:paraId="23EC8DB4">
      <w:pPr>
        <w:pStyle w:val="2"/>
        <w:spacing w:before="185" w:line="306" w:lineRule="auto"/>
        <w:ind w:left="3" w:right="81" w:firstLine="632"/>
      </w:pPr>
      <w:r>
        <w:rPr>
          <w:b/>
          <w:bCs/>
          <w:spacing w:val="6"/>
        </w:rPr>
        <w:t>（八）强化旧改项目基础配套。</w:t>
      </w:r>
      <w:r>
        <w:rPr>
          <w:spacing w:val="6"/>
        </w:rPr>
        <w:t>统筹推进旧</w:t>
      </w:r>
      <w:r>
        <w:rPr>
          <w:spacing w:val="5"/>
        </w:rPr>
        <w:t>城改造项目与周</w:t>
      </w:r>
      <w:r>
        <w:rPr>
          <w:spacing w:val="7"/>
        </w:rPr>
        <w:t>边基础配套设施建设，对政府承担建设的道路、通讯、给排水、燃气、电力等管网类配套设施，提前纳入建设计划、同步规划实</w:t>
      </w:r>
      <w:r>
        <w:rPr>
          <w:spacing w:val="9"/>
        </w:rPr>
        <w:t>施、加快完善到位，实现项目建设与配套提升同频推进。</w:t>
      </w:r>
    </w:p>
    <w:p w14:paraId="4EFF28E9">
      <w:pPr>
        <w:spacing w:before="185" w:line="227" w:lineRule="auto"/>
        <w:ind w:left="65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三、优化规划设计标准</w:t>
      </w:r>
    </w:p>
    <w:p w14:paraId="7D76A835">
      <w:pPr>
        <w:pStyle w:val="2"/>
        <w:spacing w:before="174" w:line="334" w:lineRule="auto"/>
        <w:ind w:left="2" w:right="79" w:firstLine="634"/>
      </w:pPr>
      <w:r>
        <w:rPr>
          <w:b/>
          <w:bCs/>
          <w:spacing w:val="5"/>
        </w:rPr>
        <w:t>（九）严格建筑高度与面宽管控。</w:t>
      </w:r>
      <w:r>
        <w:rPr>
          <w:spacing w:val="5"/>
        </w:rPr>
        <w:t>平屋顶建筑高度按室外设</w:t>
      </w:r>
      <w:r>
        <w:rPr>
          <w:spacing w:val="7"/>
        </w:rPr>
        <w:t>计地坪至女儿墙顶点计算，无女儿墙的按至屋面檐口顶点计算；坡屋顶建筑分别计算檐口及屋脊高度，檐口高度按室外设计地坪至屋面檐口或坡屋面最低点计算，屋脊高度按室外设计地坪至屋脊计算。屋顶设备用房及其他局部突出屋面的用房，总面积不超</w:t>
      </w:r>
      <w:r>
        <w:rPr>
          <w:spacing w:val="4"/>
        </w:rPr>
        <w:t>过屋面面积</w:t>
      </w:r>
      <w:r>
        <w:rPr>
          <w:spacing w:val="-32"/>
        </w:rPr>
        <w:t xml:space="preserve"> </w:t>
      </w:r>
      <w:r>
        <w:rPr>
          <w:spacing w:val="4"/>
        </w:rPr>
        <w:t>1/4</w:t>
      </w:r>
      <w:r>
        <w:rPr>
          <w:spacing w:val="-33"/>
        </w:rPr>
        <w:t xml:space="preserve"> </w:t>
      </w:r>
      <w:r>
        <w:rPr>
          <w:spacing w:val="4"/>
        </w:rPr>
        <w:t>时，不计入建筑高度。新建住宅建筑层高不低于</w:t>
      </w:r>
      <w:r>
        <w:rPr>
          <w:spacing w:val="5"/>
        </w:rPr>
        <w:t>3</w:t>
      </w:r>
      <w:r>
        <w:rPr>
          <w:spacing w:val="-54"/>
        </w:rPr>
        <w:t xml:space="preserve"> </w:t>
      </w:r>
      <w:r>
        <w:rPr>
          <w:spacing w:val="5"/>
        </w:rPr>
        <w:t>米，建筑高度不得超过</w:t>
      </w:r>
      <w:r>
        <w:rPr>
          <w:spacing w:val="-45"/>
        </w:rPr>
        <w:t xml:space="preserve"> </w:t>
      </w:r>
      <w:r>
        <w:rPr>
          <w:spacing w:val="5"/>
        </w:rPr>
        <w:t>54</w:t>
      </w:r>
      <w:r>
        <w:rPr>
          <w:spacing w:val="-51"/>
        </w:rPr>
        <w:t xml:space="preserve"> </w:t>
      </w:r>
      <w:r>
        <w:rPr>
          <w:spacing w:val="5"/>
        </w:rPr>
        <w:t>米，建筑面宽不得超过</w:t>
      </w:r>
      <w:r>
        <w:rPr>
          <w:spacing w:val="-47"/>
        </w:rPr>
        <w:t xml:space="preserve"> </w:t>
      </w:r>
      <w:r>
        <w:rPr>
          <w:spacing w:val="5"/>
        </w:rPr>
        <w:t>70</w:t>
      </w:r>
      <w:r>
        <w:rPr>
          <w:spacing w:val="-51"/>
        </w:rPr>
        <w:t xml:space="preserve"> </w:t>
      </w:r>
      <w:r>
        <w:rPr>
          <w:spacing w:val="5"/>
        </w:rPr>
        <w:t>米，确保</w:t>
      </w:r>
    </w:p>
    <w:p w14:paraId="1D2D70C3">
      <w:pPr>
        <w:spacing w:line="334" w:lineRule="auto"/>
        <w:sectPr>
          <w:footerReference r:id="rId9" w:type="default"/>
          <w:pgSz w:w="11906" w:h="16838"/>
          <w:pgMar w:top="400" w:right="1391" w:bottom="1315" w:left="1539" w:header="0" w:footer="949" w:gutter="0"/>
          <w:cols w:space="720" w:num="1"/>
        </w:sectPr>
      </w:pPr>
    </w:p>
    <w:p w14:paraId="68B125FA">
      <w:pPr>
        <w:spacing w:line="243" w:lineRule="auto"/>
        <w:rPr>
          <w:rFonts w:ascii="Arial"/>
          <w:sz w:val="21"/>
        </w:rPr>
      </w:pPr>
    </w:p>
    <w:p w14:paraId="459FF0D4">
      <w:pPr>
        <w:spacing w:line="243" w:lineRule="auto"/>
        <w:rPr>
          <w:rFonts w:ascii="Arial"/>
          <w:sz w:val="21"/>
        </w:rPr>
      </w:pPr>
    </w:p>
    <w:p w14:paraId="335809A3">
      <w:pPr>
        <w:spacing w:line="243" w:lineRule="auto"/>
        <w:rPr>
          <w:rFonts w:ascii="Arial"/>
          <w:sz w:val="21"/>
        </w:rPr>
      </w:pPr>
    </w:p>
    <w:p w14:paraId="5DE38C8A">
      <w:pPr>
        <w:spacing w:line="244" w:lineRule="auto"/>
        <w:rPr>
          <w:rFonts w:ascii="Arial"/>
          <w:sz w:val="21"/>
        </w:rPr>
      </w:pPr>
    </w:p>
    <w:p w14:paraId="16B95E36">
      <w:pPr>
        <w:spacing w:line="244" w:lineRule="auto"/>
        <w:rPr>
          <w:rFonts w:ascii="Arial"/>
          <w:sz w:val="21"/>
        </w:rPr>
      </w:pPr>
    </w:p>
    <w:p w14:paraId="15C3F764">
      <w:pPr>
        <w:spacing w:line="244" w:lineRule="auto"/>
        <w:rPr>
          <w:rFonts w:ascii="Arial"/>
          <w:sz w:val="21"/>
        </w:rPr>
      </w:pPr>
    </w:p>
    <w:p w14:paraId="69DE7703">
      <w:pPr>
        <w:spacing w:line="244" w:lineRule="auto"/>
        <w:rPr>
          <w:rFonts w:ascii="Arial"/>
          <w:sz w:val="21"/>
        </w:rPr>
      </w:pPr>
    </w:p>
    <w:p w14:paraId="2AA1F629">
      <w:pPr>
        <w:pStyle w:val="2"/>
        <w:spacing w:before="101" w:line="222" w:lineRule="auto"/>
      </w:pPr>
      <w:r>
        <w:rPr>
          <w:spacing w:val="3"/>
        </w:rPr>
        <w:t>城市空间形态协调有序。</w:t>
      </w:r>
    </w:p>
    <w:p w14:paraId="142ED4ED">
      <w:pPr>
        <w:pStyle w:val="2"/>
        <w:spacing w:before="183" w:line="315" w:lineRule="auto"/>
        <w:ind w:left="5" w:firstLine="630"/>
      </w:pPr>
      <w:r>
        <w:rPr>
          <w:b/>
          <w:bCs/>
          <w:spacing w:val="6"/>
        </w:rPr>
        <w:t>（十）保障日照采光权益。</w:t>
      </w:r>
      <w:r>
        <w:rPr>
          <w:spacing w:val="6"/>
        </w:rPr>
        <w:t>旧城改造区新建住宅建筑应满足</w:t>
      </w:r>
      <w:r>
        <w:rPr>
          <w:spacing w:val="5"/>
        </w:rPr>
        <w:t>大寒日有效日照</w:t>
      </w:r>
      <w:r>
        <w:rPr>
          <w:spacing w:val="-34"/>
        </w:rPr>
        <w:t xml:space="preserve"> </w:t>
      </w:r>
      <w:r>
        <w:rPr>
          <w:spacing w:val="5"/>
        </w:rPr>
        <w:t>2</w:t>
      </w:r>
      <w:r>
        <w:rPr>
          <w:spacing w:val="-59"/>
        </w:rPr>
        <w:t xml:space="preserve"> </w:t>
      </w:r>
      <w:r>
        <w:rPr>
          <w:spacing w:val="5"/>
        </w:rPr>
        <w:t>小时标准；净地开发区新建住宅建筑应满足大寒日有效日照</w:t>
      </w:r>
      <w:r>
        <w:rPr>
          <w:spacing w:val="-34"/>
        </w:rPr>
        <w:t xml:space="preserve"> </w:t>
      </w:r>
      <w:r>
        <w:rPr>
          <w:spacing w:val="5"/>
        </w:rPr>
        <w:t>3</w:t>
      </w:r>
      <w:r>
        <w:rPr>
          <w:spacing w:val="-59"/>
        </w:rPr>
        <w:t xml:space="preserve"> </w:t>
      </w:r>
      <w:r>
        <w:rPr>
          <w:spacing w:val="5"/>
        </w:rPr>
        <w:t>小时标准；项目用地外被遮挡居住建筑应满足大</w:t>
      </w:r>
      <w:r>
        <w:rPr>
          <w:spacing w:val="3"/>
        </w:rPr>
        <w:t>寒日有效日照</w:t>
      </w:r>
      <w:r>
        <w:rPr>
          <w:spacing w:val="-37"/>
        </w:rPr>
        <w:t xml:space="preserve"> </w:t>
      </w:r>
      <w:r>
        <w:rPr>
          <w:spacing w:val="3"/>
        </w:rPr>
        <w:t>3</w:t>
      </w:r>
      <w:r>
        <w:rPr>
          <w:spacing w:val="-60"/>
        </w:rPr>
        <w:t xml:space="preserve"> </w:t>
      </w:r>
      <w:r>
        <w:rPr>
          <w:spacing w:val="3"/>
        </w:rPr>
        <w:t>小时标准，原有效日照不足</w:t>
      </w:r>
      <w:r>
        <w:rPr>
          <w:spacing w:val="-35"/>
        </w:rPr>
        <w:t xml:space="preserve"> </w:t>
      </w:r>
      <w:r>
        <w:rPr>
          <w:spacing w:val="3"/>
        </w:rPr>
        <w:t>3</w:t>
      </w:r>
      <w:r>
        <w:rPr>
          <w:spacing w:val="-60"/>
        </w:rPr>
        <w:t xml:space="preserve"> </w:t>
      </w:r>
      <w:r>
        <w:rPr>
          <w:spacing w:val="3"/>
        </w:rPr>
        <w:t>小时的，不得降低</w:t>
      </w:r>
      <w:r>
        <w:rPr>
          <w:spacing w:val="7"/>
        </w:rPr>
        <w:t>原有日照时数。其他有日照要求的建筑或场地，严格按照有关标</w:t>
      </w:r>
      <w:r>
        <w:rPr>
          <w:spacing w:val="-6"/>
        </w:rPr>
        <w:t>准执行。</w:t>
      </w:r>
    </w:p>
    <w:p w14:paraId="6D365E22">
      <w:pPr>
        <w:pStyle w:val="2"/>
        <w:spacing w:before="187" w:line="315" w:lineRule="auto"/>
        <w:ind w:left="1" w:firstLine="634"/>
      </w:pPr>
      <w:r>
        <w:rPr>
          <w:b/>
          <w:bCs/>
          <w:spacing w:val="6"/>
        </w:rPr>
        <w:t>（十一）提升建筑风貌与品质。</w:t>
      </w:r>
      <w:r>
        <w:rPr>
          <w:spacing w:val="6"/>
        </w:rPr>
        <w:t>新建住宅项</w:t>
      </w:r>
      <w:r>
        <w:rPr>
          <w:spacing w:val="5"/>
        </w:rPr>
        <w:t>目应融入地域文</w:t>
      </w:r>
      <w:r>
        <w:rPr>
          <w:spacing w:val="7"/>
        </w:rPr>
        <w:t>化特色，建筑立面设计简洁大方、协调统一，避免过度装饰。推广应用绿色环保、安全耐久的建筑材料，强化外墙保温、门窗密封等节能构造设计，有效解决隔音、漏水、串味等群众关注的突出问题。住宅建筑外观应与周边环境、城市风貌相契合，打造具</w:t>
      </w:r>
      <w:r>
        <w:rPr>
          <w:spacing w:val="8"/>
        </w:rPr>
        <w:t>有辨识度的城市住宅天际线。</w:t>
      </w:r>
    </w:p>
    <w:p w14:paraId="05272631">
      <w:pPr>
        <w:pStyle w:val="2"/>
        <w:spacing w:before="186" w:line="220" w:lineRule="auto"/>
        <w:ind w:left="635"/>
      </w:pPr>
      <w:r>
        <w:rPr>
          <w:b/>
          <w:bCs/>
          <w:spacing w:val="6"/>
        </w:rPr>
        <w:t>（十二）完善停车位配建标准。</w:t>
      </w:r>
    </w:p>
    <w:p w14:paraId="46983F58">
      <w:pPr>
        <w:pStyle w:val="2"/>
        <w:spacing w:before="194" w:line="312" w:lineRule="auto"/>
        <w:ind w:firstLine="663"/>
      </w:pPr>
      <w:r>
        <w:rPr>
          <w:spacing w:val="6"/>
        </w:rPr>
        <w:t>1.机动车停车位。社会保障性住房和旧城改造区住宅项目按</w:t>
      </w:r>
      <w:r>
        <w:rPr>
          <w:spacing w:val="5"/>
        </w:rPr>
        <w:t>1.2</w:t>
      </w:r>
      <w:r>
        <w:rPr>
          <w:spacing w:val="-60"/>
        </w:rPr>
        <w:t xml:space="preserve"> </w:t>
      </w:r>
      <w:r>
        <w:rPr>
          <w:spacing w:val="5"/>
        </w:rPr>
        <w:t>个/户配建，净地开发区住宅项目按</w:t>
      </w:r>
      <w:r>
        <w:rPr>
          <w:spacing w:val="-49"/>
        </w:rPr>
        <w:t xml:space="preserve"> </w:t>
      </w:r>
      <w:r>
        <w:rPr>
          <w:spacing w:val="5"/>
        </w:rPr>
        <w:t>2</w:t>
      </w:r>
      <w:r>
        <w:rPr>
          <w:spacing w:val="-60"/>
        </w:rPr>
        <w:t xml:space="preserve"> </w:t>
      </w:r>
      <w:r>
        <w:rPr>
          <w:spacing w:val="5"/>
        </w:rPr>
        <w:t>个/户配建；</w:t>
      </w:r>
      <w:r>
        <w:rPr>
          <w:spacing w:val="-81"/>
        </w:rPr>
        <w:t xml:space="preserve"> </w:t>
      </w:r>
      <w:r>
        <w:rPr>
          <w:spacing w:val="5"/>
        </w:rPr>
        <w:t>旧城</w:t>
      </w:r>
      <w:r>
        <w:rPr>
          <w:spacing w:val="4"/>
        </w:rPr>
        <w:t>改造</w:t>
      </w:r>
      <w:r>
        <w:rPr>
          <w:spacing w:val="2"/>
        </w:rPr>
        <w:t>区内商业建筑停车位按</w:t>
      </w:r>
      <w:r>
        <w:rPr>
          <w:spacing w:val="-41"/>
        </w:rPr>
        <w:t xml:space="preserve"> </w:t>
      </w:r>
      <w:r>
        <w:rPr>
          <w:spacing w:val="2"/>
        </w:rPr>
        <w:t>1.2</w:t>
      </w:r>
      <w:r>
        <w:rPr>
          <w:spacing w:val="-57"/>
        </w:rPr>
        <w:t xml:space="preserve"> </w:t>
      </w:r>
      <w:r>
        <w:rPr>
          <w:spacing w:val="2"/>
        </w:rPr>
        <w:t>个/100</w:t>
      </w:r>
      <w:r>
        <w:rPr>
          <w:spacing w:val="-55"/>
        </w:rPr>
        <w:t xml:space="preserve"> </w:t>
      </w:r>
      <w:r>
        <w:rPr>
          <w:spacing w:val="2"/>
        </w:rPr>
        <w:t>平方米建</w:t>
      </w:r>
      <w:r>
        <w:rPr>
          <w:spacing w:val="1"/>
        </w:rPr>
        <w:t>筑面积配建，净地开</w:t>
      </w:r>
      <w:r>
        <w:rPr>
          <w:spacing w:val="12"/>
        </w:rPr>
        <w:t>发区住宅项目内商业建筑停车位按</w:t>
      </w:r>
      <w:r>
        <w:rPr>
          <w:spacing w:val="-39"/>
        </w:rPr>
        <w:t xml:space="preserve"> </w:t>
      </w:r>
      <w:r>
        <w:rPr>
          <w:spacing w:val="12"/>
        </w:rPr>
        <w:t>2</w:t>
      </w:r>
      <w:r>
        <w:rPr>
          <w:spacing w:val="-52"/>
        </w:rPr>
        <w:t xml:space="preserve"> </w:t>
      </w:r>
      <w:r>
        <w:rPr>
          <w:spacing w:val="12"/>
        </w:rPr>
        <w:t>个/100</w:t>
      </w:r>
      <w:r>
        <w:rPr>
          <w:spacing w:val="-48"/>
        </w:rPr>
        <w:t xml:space="preserve"> </w:t>
      </w:r>
      <w:r>
        <w:rPr>
          <w:spacing w:val="12"/>
        </w:rPr>
        <w:t>平方米建筑面积配</w:t>
      </w:r>
      <w:r>
        <w:rPr>
          <w:spacing w:val="-1"/>
        </w:rPr>
        <w:t>建。</w:t>
      </w:r>
    </w:p>
    <w:p w14:paraId="341CA89E">
      <w:pPr>
        <w:pStyle w:val="2"/>
        <w:spacing w:before="178" w:line="305" w:lineRule="auto"/>
        <w:ind w:left="16" w:right="1" w:firstLine="639"/>
      </w:pPr>
      <w:r>
        <w:rPr>
          <w:spacing w:val="6"/>
        </w:rPr>
        <w:t>2.非机动车停车位。社会保障性住房和旧城改造区内住宅项</w:t>
      </w:r>
      <w:r>
        <w:rPr>
          <w:spacing w:val="3"/>
        </w:rPr>
        <w:t>目按</w:t>
      </w:r>
      <w:r>
        <w:rPr>
          <w:spacing w:val="-41"/>
        </w:rPr>
        <w:t xml:space="preserve"> </w:t>
      </w:r>
      <w:r>
        <w:rPr>
          <w:spacing w:val="3"/>
        </w:rPr>
        <w:t>1.6</w:t>
      </w:r>
      <w:r>
        <w:rPr>
          <w:spacing w:val="-60"/>
        </w:rPr>
        <w:t xml:space="preserve"> </w:t>
      </w:r>
      <w:r>
        <w:rPr>
          <w:spacing w:val="3"/>
        </w:rPr>
        <w:t>个/户配建，净地开发区住宅项目按</w:t>
      </w:r>
      <w:r>
        <w:rPr>
          <w:spacing w:val="-48"/>
        </w:rPr>
        <w:t xml:space="preserve"> </w:t>
      </w:r>
      <w:r>
        <w:rPr>
          <w:spacing w:val="3"/>
        </w:rPr>
        <w:t>2</w:t>
      </w:r>
      <w:r>
        <w:rPr>
          <w:spacing w:val="-60"/>
        </w:rPr>
        <w:t xml:space="preserve"> </w:t>
      </w:r>
      <w:r>
        <w:rPr>
          <w:spacing w:val="3"/>
        </w:rPr>
        <w:t>个/户配建；旧城</w:t>
      </w:r>
      <w:r>
        <w:rPr>
          <w:spacing w:val="11"/>
        </w:rPr>
        <w:t>改造区住宅项目内商业建筑停车位按</w:t>
      </w:r>
      <w:r>
        <w:rPr>
          <w:spacing w:val="-29"/>
        </w:rPr>
        <w:t xml:space="preserve"> </w:t>
      </w:r>
      <w:r>
        <w:rPr>
          <w:spacing w:val="11"/>
        </w:rPr>
        <w:t>6</w:t>
      </w:r>
      <w:r>
        <w:rPr>
          <w:spacing w:val="-50"/>
        </w:rPr>
        <w:t xml:space="preserve"> </w:t>
      </w:r>
      <w:r>
        <w:rPr>
          <w:spacing w:val="11"/>
        </w:rPr>
        <w:t>个/100</w:t>
      </w:r>
      <w:r>
        <w:rPr>
          <w:spacing w:val="-48"/>
        </w:rPr>
        <w:t xml:space="preserve"> </w:t>
      </w:r>
      <w:r>
        <w:rPr>
          <w:spacing w:val="11"/>
        </w:rPr>
        <w:t>平方米建筑面积</w:t>
      </w:r>
      <w:r>
        <w:rPr>
          <w:spacing w:val="1"/>
        </w:rPr>
        <w:t>配建，净地开发区住宅项目内商业建筑停车位按</w:t>
      </w:r>
      <w:r>
        <w:rPr>
          <w:spacing w:val="-37"/>
        </w:rPr>
        <w:t xml:space="preserve"> </w:t>
      </w:r>
      <w:r>
        <w:rPr>
          <w:spacing w:val="1"/>
        </w:rPr>
        <w:t>7.5</w:t>
      </w:r>
      <w:r>
        <w:rPr>
          <w:spacing w:val="-58"/>
        </w:rPr>
        <w:t xml:space="preserve"> </w:t>
      </w:r>
      <w:r>
        <w:rPr>
          <w:spacing w:val="1"/>
        </w:rPr>
        <w:t>个/100</w:t>
      </w:r>
      <w:r>
        <w:rPr>
          <w:spacing w:val="-55"/>
        </w:rPr>
        <w:t xml:space="preserve"> </w:t>
      </w:r>
      <w:r>
        <w:rPr>
          <w:spacing w:val="1"/>
        </w:rPr>
        <w:t>平方</w:t>
      </w:r>
    </w:p>
    <w:p w14:paraId="01E10CF6">
      <w:pPr>
        <w:spacing w:line="305" w:lineRule="auto"/>
        <w:sectPr>
          <w:footerReference r:id="rId10" w:type="default"/>
          <w:pgSz w:w="11906" w:h="16838"/>
          <w:pgMar w:top="400" w:right="1473" w:bottom="1315" w:left="1541" w:header="0" w:footer="951" w:gutter="0"/>
          <w:cols w:space="720" w:num="1"/>
        </w:sectPr>
      </w:pPr>
    </w:p>
    <w:p w14:paraId="002E4802">
      <w:pPr>
        <w:spacing w:line="243" w:lineRule="auto"/>
        <w:rPr>
          <w:rFonts w:ascii="Arial"/>
          <w:sz w:val="21"/>
        </w:rPr>
      </w:pPr>
    </w:p>
    <w:p w14:paraId="6D764A19">
      <w:pPr>
        <w:spacing w:line="244" w:lineRule="auto"/>
        <w:rPr>
          <w:rFonts w:ascii="Arial"/>
          <w:sz w:val="21"/>
        </w:rPr>
      </w:pPr>
    </w:p>
    <w:p w14:paraId="0A0DD53B">
      <w:pPr>
        <w:spacing w:line="244" w:lineRule="auto"/>
        <w:rPr>
          <w:rFonts w:ascii="Arial"/>
          <w:sz w:val="21"/>
        </w:rPr>
      </w:pPr>
    </w:p>
    <w:p w14:paraId="3D41D9BB">
      <w:pPr>
        <w:spacing w:line="244" w:lineRule="auto"/>
        <w:rPr>
          <w:rFonts w:ascii="Arial"/>
          <w:sz w:val="21"/>
        </w:rPr>
      </w:pPr>
    </w:p>
    <w:p w14:paraId="0F30439C">
      <w:pPr>
        <w:spacing w:line="244" w:lineRule="auto"/>
        <w:rPr>
          <w:rFonts w:ascii="Arial"/>
          <w:sz w:val="21"/>
        </w:rPr>
      </w:pPr>
    </w:p>
    <w:p w14:paraId="0DE45EB7">
      <w:pPr>
        <w:spacing w:line="244" w:lineRule="auto"/>
        <w:rPr>
          <w:rFonts w:ascii="Arial"/>
          <w:sz w:val="21"/>
        </w:rPr>
      </w:pPr>
    </w:p>
    <w:p w14:paraId="501AFB3E">
      <w:pPr>
        <w:spacing w:line="244" w:lineRule="auto"/>
        <w:rPr>
          <w:rFonts w:ascii="Arial"/>
          <w:sz w:val="21"/>
        </w:rPr>
      </w:pPr>
    </w:p>
    <w:p w14:paraId="4CB273BE">
      <w:pPr>
        <w:pStyle w:val="2"/>
        <w:spacing w:before="100" w:line="333" w:lineRule="auto"/>
        <w:ind w:left="14" w:right="95" w:firstLine="2"/>
        <w:jc w:val="both"/>
      </w:pPr>
      <w:r>
        <w:rPr>
          <w:spacing w:val="7"/>
        </w:rPr>
        <w:t>米建筑面积配建。非机动车停车位在公共区域配建的，按不低于</w:t>
      </w:r>
      <w:r>
        <w:rPr>
          <w:spacing w:val="10"/>
        </w:rPr>
        <w:t>50%的比例建设充电设施或预留安装条件，</w:t>
      </w:r>
      <w:r>
        <w:rPr>
          <w:spacing w:val="-85"/>
        </w:rPr>
        <w:t xml:space="preserve"> </w:t>
      </w:r>
      <w:r>
        <w:rPr>
          <w:spacing w:val="10"/>
        </w:rPr>
        <w:t>电动自</w:t>
      </w:r>
      <w:r>
        <w:rPr>
          <w:spacing w:val="9"/>
        </w:rPr>
        <w:t>行车充电车位</w:t>
      </w:r>
      <w:r>
        <w:rPr>
          <w:spacing w:val="6"/>
        </w:rPr>
        <w:t>不得设计布局在地下停车场或有停车功能的架空层。</w:t>
      </w:r>
    </w:p>
    <w:p w14:paraId="1A8621C1">
      <w:pPr>
        <w:pStyle w:val="2"/>
        <w:spacing w:before="2" w:line="317" w:lineRule="auto"/>
        <w:ind w:right="95" w:firstLine="641"/>
      </w:pPr>
      <w:r>
        <w:rPr>
          <w:b/>
          <w:bCs/>
          <w:spacing w:val="6"/>
        </w:rPr>
        <w:t>（十三）优化小区交通组织。</w:t>
      </w:r>
      <w:r>
        <w:rPr>
          <w:spacing w:val="6"/>
        </w:rPr>
        <w:t>全面推行小区人</w:t>
      </w:r>
      <w:r>
        <w:rPr>
          <w:spacing w:val="5"/>
        </w:rPr>
        <w:t>车分流、动静</w:t>
      </w:r>
      <w:r>
        <w:rPr>
          <w:spacing w:val="8"/>
        </w:rPr>
        <w:t>分流设计。严格划分车行、人行、休憩功能分</w:t>
      </w:r>
      <w:r>
        <w:rPr>
          <w:spacing w:val="7"/>
        </w:rPr>
        <w:t>区，车行路线沿外围或地下布置，人行通道串联核心区域；新建项目原则上全地下</w:t>
      </w:r>
      <w:r>
        <w:rPr>
          <w:spacing w:val="5"/>
        </w:rPr>
        <w:t>停车，地面仅保留应急车道、消防通道及每百户不低于</w:t>
      </w:r>
      <w:r>
        <w:rPr>
          <w:spacing w:val="-19"/>
        </w:rPr>
        <w:t xml:space="preserve"> </w:t>
      </w:r>
      <w:r>
        <w:rPr>
          <w:spacing w:val="5"/>
        </w:rPr>
        <w:t>3</w:t>
      </w:r>
      <w:r>
        <w:rPr>
          <w:spacing w:val="-60"/>
        </w:rPr>
        <w:t xml:space="preserve"> </w:t>
      </w:r>
      <w:r>
        <w:rPr>
          <w:spacing w:val="5"/>
        </w:rPr>
        <w:t>个的访</w:t>
      </w:r>
      <w:r>
        <w:rPr>
          <w:spacing w:val="7"/>
        </w:rPr>
        <w:t>客临时停靠点，地下车库出入口配备隔音防尘设施，人车通道物理隔离。人行通道全程无障碍设计，配建不低于机动车总停车位</w:t>
      </w:r>
      <w:r>
        <w:rPr>
          <w:spacing w:val="6"/>
        </w:rPr>
        <w:t>2%的无障碍车位，规划专用非机动车道。</w:t>
      </w:r>
    </w:p>
    <w:p w14:paraId="317CCA6D">
      <w:pPr>
        <w:pStyle w:val="2"/>
        <w:spacing w:before="191" w:line="222" w:lineRule="auto"/>
        <w:ind w:left="641"/>
      </w:pPr>
      <w:r>
        <w:rPr>
          <w:b/>
          <w:bCs/>
          <w:spacing w:val="6"/>
        </w:rPr>
        <w:t>（十四）强化公共服务设施配建。</w:t>
      </w:r>
    </w:p>
    <w:p w14:paraId="5CFBFCA3">
      <w:pPr>
        <w:pStyle w:val="2"/>
        <w:spacing w:before="187" w:line="278" w:lineRule="auto"/>
        <w:ind w:left="22" w:right="97" w:firstLine="647"/>
      </w:pPr>
      <w:r>
        <w:rPr>
          <w:spacing w:val="7"/>
        </w:rPr>
        <w:t>1.物业管理与服务用房。按总建筑面积</w:t>
      </w:r>
      <w:r>
        <w:rPr>
          <w:spacing w:val="-25"/>
        </w:rPr>
        <w:t xml:space="preserve"> </w:t>
      </w:r>
      <w:r>
        <w:rPr>
          <w:spacing w:val="7"/>
        </w:rPr>
        <w:t>3‰的比例配建，另</w:t>
      </w:r>
      <w:r>
        <w:rPr>
          <w:spacing w:val="3"/>
        </w:rPr>
        <w:t>配备业主委员会议事用房，面积不低于</w:t>
      </w:r>
      <w:r>
        <w:rPr>
          <w:spacing w:val="-17"/>
        </w:rPr>
        <w:t xml:space="preserve"> </w:t>
      </w:r>
      <w:r>
        <w:rPr>
          <w:spacing w:val="3"/>
        </w:rPr>
        <w:t>30</w:t>
      </w:r>
      <w:r>
        <w:rPr>
          <w:spacing w:val="-55"/>
        </w:rPr>
        <w:t xml:space="preserve"> </w:t>
      </w:r>
      <w:r>
        <w:rPr>
          <w:spacing w:val="3"/>
        </w:rPr>
        <w:t>平方米。</w:t>
      </w:r>
    </w:p>
    <w:p w14:paraId="2631AD0B">
      <w:pPr>
        <w:pStyle w:val="2"/>
        <w:spacing w:before="186" w:line="278" w:lineRule="auto"/>
        <w:ind w:left="22" w:right="97" w:firstLine="639"/>
      </w:pPr>
      <w:r>
        <w:rPr>
          <w:spacing w:val="9"/>
        </w:rPr>
        <w:t>2.养老服务用房：住宅项目按不低于每百户</w:t>
      </w:r>
      <w:r>
        <w:rPr>
          <w:spacing w:val="-21"/>
        </w:rPr>
        <w:t xml:space="preserve"> </w:t>
      </w:r>
      <w:r>
        <w:rPr>
          <w:spacing w:val="9"/>
        </w:rPr>
        <w:t>30</w:t>
      </w:r>
      <w:r>
        <w:rPr>
          <w:spacing w:val="-50"/>
        </w:rPr>
        <w:t xml:space="preserve"> </w:t>
      </w:r>
      <w:r>
        <w:rPr>
          <w:spacing w:val="9"/>
        </w:rPr>
        <w:t>平方米标准</w:t>
      </w:r>
      <w:r>
        <w:rPr>
          <w:spacing w:val="3"/>
        </w:rPr>
        <w:t>配建，核算后面积低于</w:t>
      </w:r>
      <w:r>
        <w:rPr>
          <w:spacing w:val="-41"/>
        </w:rPr>
        <w:t xml:space="preserve"> </w:t>
      </w:r>
      <w:r>
        <w:rPr>
          <w:spacing w:val="3"/>
        </w:rPr>
        <w:t>100</w:t>
      </w:r>
      <w:r>
        <w:rPr>
          <w:spacing w:val="-55"/>
        </w:rPr>
        <w:t xml:space="preserve"> </w:t>
      </w:r>
      <w:r>
        <w:rPr>
          <w:spacing w:val="3"/>
        </w:rPr>
        <w:t>平米的按</w:t>
      </w:r>
      <w:r>
        <w:rPr>
          <w:spacing w:val="-40"/>
        </w:rPr>
        <w:t xml:space="preserve"> </w:t>
      </w:r>
      <w:r>
        <w:rPr>
          <w:spacing w:val="3"/>
        </w:rPr>
        <w:t>100</w:t>
      </w:r>
      <w:r>
        <w:rPr>
          <w:spacing w:val="-55"/>
        </w:rPr>
        <w:t xml:space="preserve"> </w:t>
      </w:r>
      <w:r>
        <w:rPr>
          <w:spacing w:val="3"/>
        </w:rPr>
        <w:t>平米</w:t>
      </w:r>
      <w:r>
        <w:rPr>
          <w:spacing w:val="2"/>
        </w:rPr>
        <w:t>配建。</w:t>
      </w:r>
    </w:p>
    <w:p w14:paraId="782B02C3">
      <w:pPr>
        <w:pStyle w:val="2"/>
        <w:spacing w:before="187" w:line="277" w:lineRule="auto"/>
        <w:ind w:left="8" w:firstLine="665"/>
      </w:pPr>
      <w:r>
        <w:rPr>
          <w:spacing w:val="-2"/>
        </w:rPr>
        <w:t>3.居民活动用房</w:t>
      </w:r>
      <w:r>
        <w:rPr>
          <w:rFonts w:ascii="楷体" w:hAnsi="楷体" w:eastAsia="楷体" w:cs="楷体"/>
          <w:spacing w:val="-2"/>
        </w:rPr>
        <w:t>（</w:t>
      </w:r>
      <w:r>
        <w:rPr>
          <w:rFonts w:ascii="楷体" w:hAnsi="楷体" w:eastAsia="楷体" w:cs="楷体"/>
          <w:spacing w:val="-68"/>
        </w:rPr>
        <w:t xml:space="preserve"> </w:t>
      </w:r>
      <w:r>
        <w:rPr>
          <w:rFonts w:ascii="楷体" w:hAnsi="楷体" w:eastAsia="楷体" w:cs="楷体"/>
          <w:spacing w:val="-2"/>
        </w:rPr>
        <w:t>室内体育健身设施</w:t>
      </w:r>
      <w:r>
        <w:rPr>
          <w:rFonts w:ascii="楷体" w:hAnsi="楷体" w:eastAsia="楷体" w:cs="楷体"/>
          <w:spacing w:val="-74"/>
        </w:rPr>
        <w:t>）</w:t>
      </w:r>
      <w:r>
        <w:rPr>
          <w:spacing w:val="-74"/>
        </w:rPr>
        <w:t>：</w:t>
      </w:r>
      <w:r>
        <w:rPr>
          <w:spacing w:val="-2"/>
        </w:rPr>
        <w:t>按人均</w:t>
      </w:r>
      <w:r>
        <w:rPr>
          <w:spacing w:val="-38"/>
        </w:rPr>
        <w:t xml:space="preserve"> </w:t>
      </w:r>
      <w:r>
        <w:rPr>
          <w:spacing w:val="-2"/>
        </w:rPr>
        <w:t>0.1</w:t>
      </w:r>
      <w:r>
        <w:rPr>
          <w:spacing w:val="-55"/>
        </w:rPr>
        <w:t xml:space="preserve"> </w:t>
      </w:r>
      <w:r>
        <w:rPr>
          <w:spacing w:val="-2"/>
        </w:rPr>
        <w:t>平方米、每户</w:t>
      </w:r>
      <w:r>
        <w:rPr>
          <w:spacing w:val="-22"/>
        </w:rPr>
        <w:t xml:space="preserve"> </w:t>
      </w:r>
      <w:r>
        <w:rPr>
          <w:spacing w:val="-2"/>
        </w:rPr>
        <w:t>0.32</w:t>
      </w:r>
      <w:r>
        <w:rPr>
          <w:spacing w:val="-55"/>
        </w:rPr>
        <w:t xml:space="preserve"> </w:t>
      </w:r>
      <w:r>
        <w:rPr>
          <w:spacing w:val="-2"/>
        </w:rPr>
        <w:t>平方米配建</w:t>
      </w:r>
      <w:r>
        <w:rPr>
          <w:rFonts w:ascii="楷体" w:hAnsi="楷体" w:eastAsia="楷体" w:cs="楷体"/>
          <w:spacing w:val="-2"/>
        </w:rPr>
        <w:t>（按每户</w:t>
      </w:r>
      <w:r>
        <w:rPr>
          <w:rFonts w:ascii="楷体" w:hAnsi="楷体" w:eastAsia="楷体" w:cs="楷体"/>
          <w:spacing w:val="-39"/>
        </w:rPr>
        <w:t xml:space="preserve"> </w:t>
      </w:r>
      <w:r>
        <w:rPr>
          <w:rFonts w:ascii="楷体" w:hAnsi="楷体" w:eastAsia="楷体" w:cs="楷体"/>
          <w:spacing w:val="-2"/>
        </w:rPr>
        <w:t>3.2</w:t>
      </w:r>
      <w:r>
        <w:rPr>
          <w:rFonts w:ascii="楷体" w:hAnsi="楷体" w:eastAsia="楷体" w:cs="楷体"/>
          <w:spacing w:val="-68"/>
        </w:rPr>
        <w:t xml:space="preserve"> </w:t>
      </w:r>
      <w:r>
        <w:rPr>
          <w:rFonts w:ascii="楷体" w:hAnsi="楷体" w:eastAsia="楷体" w:cs="楷体"/>
          <w:spacing w:val="-2"/>
        </w:rPr>
        <w:t>人标准计算）</w:t>
      </w:r>
      <w:r>
        <w:rPr>
          <w:spacing w:val="-2"/>
        </w:rPr>
        <w:t>。</w:t>
      </w:r>
    </w:p>
    <w:p w14:paraId="7F7A272A">
      <w:pPr>
        <w:pStyle w:val="2"/>
        <w:spacing w:before="191" w:line="277" w:lineRule="auto"/>
        <w:ind w:left="22" w:right="97" w:firstLine="638"/>
      </w:pPr>
      <w:r>
        <w:rPr>
          <w:spacing w:val="10"/>
        </w:rPr>
        <w:t>4.社区办公用房：住宅项目按不低于每百户</w:t>
      </w:r>
      <w:r>
        <w:rPr>
          <w:spacing w:val="-44"/>
        </w:rPr>
        <w:t xml:space="preserve"> </w:t>
      </w:r>
      <w:r>
        <w:rPr>
          <w:spacing w:val="10"/>
        </w:rPr>
        <w:t>50</w:t>
      </w:r>
      <w:r>
        <w:rPr>
          <w:spacing w:val="-50"/>
        </w:rPr>
        <w:t xml:space="preserve"> </w:t>
      </w:r>
      <w:r>
        <w:rPr>
          <w:spacing w:val="10"/>
        </w:rPr>
        <w:t>平方</w:t>
      </w:r>
      <w:r>
        <w:rPr>
          <w:spacing w:val="9"/>
        </w:rPr>
        <w:t>米标准</w:t>
      </w:r>
      <w:r>
        <w:rPr>
          <w:spacing w:val="3"/>
        </w:rPr>
        <w:t>配建，核算后面积低于</w:t>
      </w:r>
      <w:r>
        <w:rPr>
          <w:spacing w:val="-41"/>
        </w:rPr>
        <w:t xml:space="preserve"> </w:t>
      </w:r>
      <w:r>
        <w:rPr>
          <w:spacing w:val="3"/>
        </w:rPr>
        <w:t>100</w:t>
      </w:r>
      <w:r>
        <w:rPr>
          <w:spacing w:val="-55"/>
        </w:rPr>
        <w:t xml:space="preserve"> </w:t>
      </w:r>
      <w:r>
        <w:rPr>
          <w:spacing w:val="3"/>
        </w:rPr>
        <w:t>平米的按</w:t>
      </w:r>
      <w:r>
        <w:rPr>
          <w:spacing w:val="-40"/>
        </w:rPr>
        <w:t xml:space="preserve"> </w:t>
      </w:r>
      <w:r>
        <w:rPr>
          <w:spacing w:val="3"/>
        </w:rPr>
        <w:t>100</w:t>
      </w:r>
      <w:r>
        <w:rPr>
          <w:spacing w:val="-55"/>
        </w:rPr>
        <w:t xml:space="preserve"> </w:t>
      </w:r>
      <w:r>
        <w:rPr>
          <w:spacing w:val="3"/>
        </w:rPr>
        <w:t>平米</w:t>
      </w:r>
      <w:r>
        <w:rPr>
          <w:spacing w:val="2"/>
        </w:rPr>
        <w:t>配建。</w:t>
      </w:r>
    </w:p>
    <w:p w14:paraId="37045918">
      <w:pPr>
        <w:pStyle w:val="2"/>
        <w:spacing w:before="189" w:line="278" w:lineRule="auto"/>
        <w:ind w:left="66" w:right="97" w:firstLine="599"/>
      </w:pPr>
      <w:r>
        <w:rPr>
          <w:spacing w:val="6"/>
        </w:rPr>
        <w:t>5.公共厕所：每个住宅小区至少配建一处开放的有独立出入</w:t>
      </w:r>
      <w:r>
        <w:rPr>
          <w:spacing w:val="3"/>
        </w:rPr>
        <w:t>口、具备供暖条件的水冲厕所，面积不小于</w:t>
      </w:r>
      <w:r>
        <w:rPr>
          <w:spacing w:val="-46"/>
        </w:rPr>
        <w:t xml:space="preserve"> </w:t>
      </w:r>
      <w:r>
        <w:rPr>
          <w:spacing w:val="3"/>
        </w:rPr>
        <w:t>60</w:t>
      </w:r>
      <w:r>
        <w:rPr>
          <w:spacing w:val="-57"/>
        </w:rPr>
        <w:t xml:space="preserve"> </w:t>
      </w:r>
      <w:r>
        <w:rPr>
          <w:spacing w:val="3"/>
        </w:rPr>
        <w:t>平方米。</w:t>
      </w:r>
    </w:p>
    <w:p w14:paraId="6695394A">
      <w:pPr>
        <w:pStyle w:val="2"/>
        <w:spacing w:before="186" w:line="276" w:lineRule="auto"/>
        <w:ind w:left="9" w:right="95" w:firstLine="654"/>
      </w:pPr>
      <w:r>
        <w:rPr>
          <w:spacing w:val="6"/>
        </w:rPr>
        <w:t>6.托育与无障碍设施：新建住宅项目按相关标准配建托育设</w:t>
      </w:r>
      <w:r>
        <w:rPr>
          <w:spacing w:val="7"/>
        </w:rPr>
        <w:t>施，同步建设无障碍通道、无障碍停车位等无障碍设施，打造全</w:t>
      </w:r>
    </w:p>
    <w:p w14:paraId="4DC63F06">
      <w:pPr>
        <w:spacing w:line="276" w:lineRule="auto"/>
        <w:sectPr>
          <w:footerReference r:id="rId11" w:type="default"/>
          <w:pgSz w:w="11906" w:h="16838"/>
          <w:pgMar w:top="400" w:right="1377" w:bottom="1315" w:left="1534" w:header="0" w:footer="951" w:gutter="0"/>
          <w:cols w:space="720" w:num="1"/>
        </w:sectPr>
      </w:pPr>
    </w:p>
    <w:p w14:paraId="4CF38841">
      <w:pPr>
        <w:spacing w:line="243" w:lineRule="auto"/>
        <w:rPr>
          <w:rFonts w:ascii="Arial"/>
          <w:sz w:val="21"/>
        </w:rPr>
      </w:pPr>
    </w:p>
    <w:p w14:paraId="59CDFA52">
      <w:pPr>
        <w:spacing w:line="243" w:lineRule="auto"/>
        <w:rPr>
          <w:rFonts w:ascii="Arial"/>
          <w:sz w:val="21"/>
        </w:rPr>
      </w:pPr>
    </w:p>
    <w:p w14:paraId="3E5EF8DB">
      <w:pPr>
        <w:spacing w:line="243" w:lineRule="auto"/>
        <w:rPr>
          <w:rFonts w:ascii="Arial"/>
          <w:sz w:val="21"/>
        </w:rPr>
      </w:pPr>
    </w:p>
    <w:p w14:paraId="7D45D790">
      <w:pPr>
        <w:spacing w:line="244" w:lineRule="auto"/>
        <w:rPr>
          <w:rFonts w:ascii="Arial"/>
          <w:sz w:val="21"/>
        </w:rPr>
      </w:pPr>
    </w:p>
    <w:p w14:paraId="18FAEE94">
      <w:pPr>
        <w:spacing w:line="244" w:lineRule="auto"/>
        <w:rPr>
          <w:rFonts w:ascii="Arial"/>
          <w:sz w:val="21"/>
        </w:rPr>
      </w:pPr>
    </w:p>
    <w:p w14:paraId="67F53FD9">
      <w:pPr>
        <w:spacing w:line="244" w:lineRule="auto"/>
        <w:rPr>
          <w:rFonts w:ascii="Arial"/>
          <w:sz w:val="21"/>
        </w:rPr>
      </w:pPr>
    </w:p>
    <w:p w14:paraId="3D4319AC">
      <w:pPr>
        <w:spacing w:line="244" w:lineRule="auto"/>
        <w:rPr>
          <w:rFonts w:ascii="Arial"/>
          <w:sz w:val="21"/>
        </w:rPr>
      </w:pPr>
    </w:p>
    <w:p w14:paraId="0FB32E32">
      <w:pPr>
        <w:pStyle w:val="2"/>
        <w:spacing w:before="101" w:line="223" w:lineRule="auto"/>
        <w:ind w:left="3"/>
      </w:pPr>
      <w:r>
        <w:rPr>
          <w:spacing w:val="1"/>
        </w:rPr>
        <w:t>龄友好型社区。</w:t>
      </w:r>
    </w:p>
    <w:p w14:paraId="0E561C97">
      <w:pPr>
        <w:pStyle w:val="2"/>
        <w:spacing w:before="186" w:line="333" w:lineRule="auto"/>
        <w:ind w:right="70" w:firstLine="655"/>
        <w:jc w:val="both"/>
      </w:pPr>
      <w:r>
        <w:rPr>
          <w:spacing w:val="6"/>
        </w:rPr>
        <w:t>7.公共服务设施用房原则上实行居中、集中、一体化布局建</w:t>
      </w:r>
      <w:r>
        <w:rPr>
          <w:spacing w:val="7"/>
        </w:rPr>
        <w:t>设，交付时需满足铺地、刮白等基础装修标准，确保交付即可使</w:t>
      </w:r>
      <w:r>
        <w:rPr>
          <w:spacing w:val="-16"/>
        </w:rPr>
        <w:t>用。</w:t>
      </w:r>
    </w:p>
    <w:p w14:paraId="5CC00CDA">
      <w:pPr>
        <w:spacing w:line="220" w:lineRule="auto"/>
        <w:ind w:left="632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（十五）全面提升小区环境品质。</w:t>
      </w:r>
    </w:p>
    <w:p w14:paraId="25947AFD">
      <w:pPr>
        <w:pStyle w:val="2"/>
        <w:spacing w:before="194" w:line="305" w:lineRule="auto"/>
        <w:ind w:left="2" w:right="70" w:firstLine="658"/>
      </w:pPr>
      <w:r>
        <w:rPr>
          <w:spacing w:val="6"/>
        </w:rPr>
        <w:t>1.道路建设标准：小区主要环形通道、主出入口通道及核心</w:t>
      </w:r>
      <w:r>
        <w:rPr>
          <w:spacing w:val="12"/>
        </w:rPr>
        <w:t>区域道路采用沥青混凝土路面</w:t>
      </w:r>
      <w:r>
        <w:rPr>
          <w:rFonts w:ascii="楷体" w:hAnsi="楷体" w:eastAsia="楷体" w:cs="楷体"/>
          <w:spacing w:val="12"/>
        </w:rPr>
        <w:t>（柏油路</w:t>
      </w:r>
      <w:r>
        <w:rPr>
          <w:rFonts w:ascii="楷体" w:hAnsi="楷体" w:eastAsia="楷体" w:cs="楷体"/>
          <w:spacing w:val="-54"/>
        </w:rPr>
        <w:t>）</w:t>
      </w:r>
      <w:r>
        <w:rPr>
          <w:spacing w:val="-54"/>
        </w:rPr>
        <w:t>，</w:t>
      </w:r>
      <w:r>
        <w:rPr>
          <w:spacing w:val="12"/>
        </w:rPr>
        <w:t>路面基层压实度不低</w:t>
      </w:r>
      <w:r>
        <w:rPr>
          <w:spacing w:val="7"/>
        </w:rPr>
        <w:t>于</w:t>
      </w:r>
      <w:r>
        <w:rPr>
          <w:spacing w:val="-45"/>
        </w:rPr>
        <w:t xml:space="preserve"> </w:t>
      </w:r>
      <w:r>
        <w:rPr>
          <w:spacing w:val="7"/>
        </w:rPr>
        <w:t>95%，面层厚度不小于</w:t>
      </w:r>
      <w:r>
        <w:rPr>
          <w:spacing w:val="-51"/>
        </w:rPr>
        <w:t xml:space="preserve"> </w:t>
      </w:r>
      <w:r>
        <w:rPr>
          <w:spacing w:val="7"/>
        </w:rPr>
        <w:t>4</w:t>
      </w:r>
      <w:r>
        <w:rPr>
          <w:spacing w:val="-61"/>
        </w:rPr>
        <w:t xml:space="preserve"> </w:t>
      </w:r>
      <w:r>
        <w:rPr>
          <w:spacing w:val="7"/>
        </w:rPr>
        <w:t>厘米，确保路面</w:t>
      </w:r>
      <w:r>
        <w:rPr>
          <w:spacing w:val="6"/>
        </w:rPr>
        <w:t>平整、耐磨、降噪；</w:t>
      </w:r>
      <w:r>
        <w:rPr>
          <w:spacing w:val="7"/>
        </w:rPr>
        <w:t>入户台阶、园林绿化区域台阶须采用整石砌筑，石材厚度不小于</w:t>
      </w:r>
    </w:p>
    <w:p w14:paraId="7F085255">
      <w:pPr>
        <w:pStyle w:val="2"/>
        <w:spacing w:before="186" w:line="306" w:lineRule="auto"/>
        <w:ind w:right="70" w:firstLine="20"/>
      </w:pPr>
      <w:r>
        <w:rPr>
          <w:spacing w:val="4"/>
        </w:rPr>
        <w:t>15</w:t>
      </w:r>
      <w:r>
        <w:rPr>
          <w:spacing w:val="-52"/>
        </w:rPr>
        <w:t xml:space="preserve"> </w:t>
      </w:r>
      <w:r>
        <w:rPr>
          <w:spacing w:val="4"/>
        </w:rPr>
        <w:t>厘米，表面防滑处理，</w:t>
      </w:r>
      <w:r>
        <w:rPr>
          <w:spacing w:val="-89"/>
        </w:rPr>
        <w:t xml:space="preserve"> </w:t>
      </w:r>
      <w:r>
        <w:rPr>
          <w:spacing w:val="4"/>
        </w:rPr>
        <w:t>台阶高度控制在</w:t>
      </w:r>
      <w:r>
        <w:rPr>
          <w:spacing w:val="-45"/>
        </w:rPr>
        <w:t xml:space="preserve"> </w:t>
      </w:r>
      <w:r>
        <w:rPr>
          <w:spacing w:val="4"/>
        </w:rPr>
        <w:t>15—18</w:t>
      </w:r>
      <w:r>
        <w:rPr>
          <w:spacing w:val="-59"/>
        </w:rPr>
        <w:t xml:space="preserve"> </w:t>
      </w:r>
      <w:r>
        <w:rPr>
          <w:spacing w:val="4"/>
        </w:rPr>
        <w:t>厘米、宽度不</w:t>
      </w:r>
      <w:r>
        <w:rPr>
          <w:spacing w:val="10"/>
        </w:rPr>
        <w:t>小于</w:t>
      </w:r>
      <w:r>
        <w:rPr>
          <w:spacing w:val="-16"/>
        </w:rPr>
        <w:t xml:space="preserve"> </w:t>
      </w:r>
      <w:r>
        <w:rPr>
          <w:spacing w:val="10"/>
        </w:rPr>
        <w:t>30</w:t>
      </w:r>
      <w:r>
        <w:rPr>
          <w:spacing w:val="-57"/>
        </w:rPr>
        <w:t xml:space="preserve"> </w:t>
      </w:r>
      <w:r>
        <w:rPr>
          <w:spacing w:val="10"/>
        </w:rPr>
        <w:t>厘米，符合人体工程学要求；道路道牙采用混凝土预制</w:t>
      </w:r>
      <w:r>
        <w:rPr>
          <w:spacing w:val="3"/>
        </w:rPr>
        <w:t>或天然石材，厚度不低于</w:t>
      </w:r>
      <w:r>
        <w:rPr>
          <w:spacing w:val="-30"/>
        </w:rPr>
        <w:t xml:space="preserve"> </w:t>
      </w:r>
      <w:r>
        <w:rPr>
          <w:spacing w:val="3"/>
        </w:rPr>
        <w:t>12</w:t>
      </w:r>
      <w:r>
        <w:rPr>
          <w:spacing w:val="-61"/>
        </w:rPr>
        <w:t xml:space="preserve"> </w:t>
      </w:r>
      <w:r>
        <w:rPr>
          <w:spacing w:val="3"/>
        </w:rPr>
        <w:t>厘米、高度不低于</w:t>
      </w:r>
      <w:r>
        <w:rPr>
          <w:spacing w:val="-40"/>
        </w:rPr>
        <w:t xml:space="preserve"> </w:t>
      </w:r>
      <w:r>
        <w:rPr>
          <w:spacing w:val="3"/>
        </w:rPr>
        <w:t>15</w:t>
      </w:r>
      <w:r>
        <w:rPr>
          <w:spacing w:val="-59"/>
        </w:rPr>
        <w:t xml:space="preserve"> </w:t>
      </w:r>
      <w:r>
        <w:rPr>
          <w:spacing w:val="3"/>
        </w:rPr>
        <w:t>厘米，强度及</w:t>
      </w:r>
      <w:r>
        <w:rPr>
          <w:spacing w:val="6"/>
        </w:rPr>
        <w:t>安装标准不低于市政道路建设规范。</w:t>
      </w:r>
    </w:p>
    <w:p w14:paraId="393DC363">
      <w:pPr>
        <w:pStyle w:val="2"/>
        <w:spacing w:before="185" w:line="296" w:lineRule="auto"/>
        <w:ind w:left="2" w:right="72" w:firstLine="650"/>
      </w:pPr>
      <w:r>
        <w:rPr>
          <w:spacing w:val="7"/>
        </w:rPr>
        <w:t>2.绿化景观打造：小区绿地率不低于</w:t>
      </w:r>
      <w:r>
        <w:rPr>
          <w:spacing w:val="-24"/>
        </w:rPr>
        <w:t xml:space="preserve"> </w:t>
      </w:r>
      <w:r>
        <w:rPr>
          <w:spacing w:val="7"/>
        </w:rPr>
        <w:t>35%，其中集中绿地面积不低于总绿地面积的</w:t>
      </w:r>
      <w:r>
        <w:rPr>
          <w:spacing w:val="-46"/>
        </w:rPr>
        <w:t xml:space="preserve"> </w:t>
      </w:r>
      <w:r>
        <w:rPr>
          <w:spacing w:val="7"/>
        </w:rPr>
        <w:t>50%，且集中绿地宽</w:t>
      </w:r>
      <w:r>
        <w:rPr>
          <w:spacing w:val="6"/>
        </w:rPr>
        <w:t>度不小于</w:t>
      </w:r>
      <w:r>
        <w:rPr>
          <w:spacing w:val="-47"/>
        </w:rPr>
        <w:t xml:space="preserve"> </w:t>
      </w:r>
      <w:r>
        <w:rPr>
          <w:spacing w:val="6"/>
        </w:rPr>
        <w:t>8</w:t>
      </w:r>
      <w:r>
        <w:rPr>
          <w:spacing w:val="-53"/>
        </w:rPr>
        <w:t xml:space="preserve"> </w:t>
      </w:r>
      <w:r>
        <w:rPr>
          <w:spacing w:val="6"/>
        </w:rPr>
        <w:t>米、长度</w:t>
      </w:r>
      <w:r>
        <w:rPr>
          <w:spacing w:val="3"/>
        </w:rPr>
        <w:t>不小于</w:t>
      </w:r>
      <w:r>
        <w:rPr>
          <w:spacing w:val="-46"/>
        </w:rPr>
        <w:t xml:space="preserve"> </w:t>
      </w:r>
      <w:r>
        <w:rPr>
          <w:spacing w:val="3"/>
        </w:rPr>
        <w:t>20</w:t>
      </w:r>
      <w:r>
        <w:rPr>
          <w:spacing w:val="-51"/>
        </w:rPr>
        <w:t xml:space="preserve"> </w:t>
      </w:r>
      <w:r>
        <w:rPr>
          <w:spacing w:val="3"/>
        </w:rPr>
        <w:t>米，满足居民休闲活动需求。</w:t>
      </w:r>
    </w:p>
    <w:p w14:paraId="175C1CFA">
      <w:pPr>
        <w:pStyle w:val="2"/>
        <w:spacing w:before="192" w:line="317" w:lineRule="auto"/>
        <w:ind w:firstLine="665"/>
      </w:pPr>
      <w:r>
        <w:rPr>
          <w:spacing w:val="6"/>
        </w:rPr>
        <w:t>3.环境配套要求：小区公共区域需设置分类垃圾收集点，配</w:t>
      </w:r>
      <w:r>
        <w:rPr>
          <w:spacing w:val="7"/>
        </w:rPr>
        <w:t>备密闭式垃圾收集容器，具备除臭、防渗漏功能；合理设置健身步道、健身器材区、儿童活动区、老年休憩区等功能分区，各区域设置明显标识，设施材质安全环保、符合相关标准；公共照明</w:t>
      </w:r>
      <w:r>
        <w:rPr>
          <w:spacing w:val="-1"/>
        </w:rPr>
        <w:t>采用节能灯具，合理布置照明点位，确保夜间照明均匀、无</w:t>
      </w:r>
      <w:r>
        <w:rPr>
          <w:spacing w:val="-2"/>
        </w:rPr>
        <w:t>眩光；</w:t>
      </w:r>
      <w:r>
        <w:rPr>
          <w:spacing w:val="7"/>
        </w:rPr>
        <w:t>小区围墙、围栏设计应与建筑风貌协调，采用通透式或半通透式</w:t>
      </w:r>
      <w:r>
        <w:rPr>
          <w:spacing w:val="10"/>
        </w:rPr>
        <w:t>设计，高度控制在</w:t>
      </w:r>
      <w:r>
        <w:rPr>
          <w:spacing w:val="-39"/>
        </w:rPr>
        <w:t xml:space="preserve"> </w:t>
      </w:r>
      <w:r>
        <w:rPr>
          <w:spacing w:val="10"/>
        </w:rPr>
        <w:t>1.8—2.2</w:t>
      </w:r>
      <w:r>
        <w:rPr>
          <w:spacing w:val="-49"/>
        </w:rPr>
        <w:t xml:space="preserve"> </w:t>
      </w:r>
      <w:r>
        <w:rPr>
          <w:spacing w:val="10"/>
        </w:rPr>
        <w:t>米，具备安全防护与</w:t>
      </w:r>
      <w:r>
        <w:rPr>
          <w:spacing w:val="9"/>
        </w:rPr>
        <w:t>景观装饰双重</w:t>
      </w:r>
    </w:p>
    <w:p w14:paraId="10E2C36A">
      <w:pPr>
        <w:spacing w:line="317" w:lineRule="auto"/>
        <w:sectPr>
          <w:footerReference r:id="rId12" w:type="default"/>
          <w:pgSz w:w="11906" w:h="16838"/>
          <w:pgMar w:top="400" w:right="1402" w:bottom="1315" w:left="1543" w:header="0" w:footer="951" w:gutter="0"/>
          <w:cols w:space="720" w:num="1"/>
        </w:sectPr>
      </w:pPr>
    </w:p>
    <w:p w14:paraId="5B997259">
      <w:pPr>
        <w:spacing w:line="243" w:lineRule="auto"/>
        <w:rPr>
          <w:rFonts w:ascii="Arial"/>
          <w:sz w:val="21"/>
        </w:rPr>
      </w:pPr>
    </w:p>
    <w:p w14:paraId="46514C58">
      <w:pPr>
        <w:spacing w:line="243" w:lineRule="auto"/>
        <w:rPr>
          <w:rFonts w:ascii="Arial"/>
          <w:sz w:val="21"/>
        </w:rPr>
      </w:pPr>
    </w:p>
    <w:p w14:paraId="154690FA">
      <w:pPr>
        <w:spacing w:line="243" w:lineRule="auto"/>
        <w:rPr>
          <w:rFonts w:ascii="Arial"/>
          <w:sz w:val="21"/>
        </w:rPr>
      </w:pPr>
    </w:p>
    <w:p w14:paraId="56AD9C88">
      <w:pPr>
        <w:spacing w:line="243" w:lineRule="auto"/>
        <w:rPr>
          <w:rFonts w:ascii="Arial"/>
          <w:sz w:val="21"/>
        </w:rPr>
      </w:pPr>
    </w:p>
    <w:p w14:paraId="6AC43277">
      <w:pPr>
        <w:spacing w:line="244" w:lineRule="auto"/>
        <w:rPr>
          <w:rFonts w:ascii="Arial"/>
          <w:sz w:val="21"/>
        </w:rPr>
      </w:pPr>
    </w:p>
    <w:p w14:paraId="40C8D573">
      <w:pPr>
        <w:spacing w:line="244" w:lineRule="auto"/>
        <w:rPr>
          <w:rFonts w:ascii="Arial"/>
          <w:sz w:val="21"/>
        </w:rPr>
      </w:pPr>
    </w:p>
    <w:p w14:paraId="34BE6A18">
      <w:pPr>
        <w:spacing w:line="244" w:lineRule="auto"/>
        <w:rPr>
          <w:rFonts w:ascii="Arial"/>
          <w:sz w:val="21"/>
        </w:rPr>
      </w:pPr>
    </w:p>
    <w:p w14:paraId="44785E00">
      <w:pPr>
        <w:pStyle w:val="2"/>
        <w:spacing w:before="101" w:line="222" w:lineRule="auto"/>
        <w:ind w:left="11"/>
      </w:pPr>
      <w:r>
        <w:rPr>
          <w:spacing w:val="-1"/>
        </w:rPr>
        <w:t>功能。</w:t>
      </w:r>
    </w:p>
    <w:p w14:paraId="771C0CB7">
      <w:pPr>
        <w:spacing w:before="185" w:line="227" w:lineRule="auto"/>
        <w:ind w:left="66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四、优化容积率计算规则</w:t>
      </w:r>
    </w:p>
    <w:p w14:paraId="4DF02A88">
      <w:pPr>
        <w:pStyle w:val="2"/>
        <w:spacing w:before="177" w:line="315" w:lineRule="auto"/>
        <w:ind w:left="3" w:firstLine="632"/>
      </w:pPr>
      <w:r>
        <w:rPr>
          <w:b/>
          <w:bCs/>
          <w:spacing w:val="-3"/>
        </w:rPr>
        <w:t>（十六）配套公共服务设施容积率政策。</w:t>
      </w:r>
      <w:r>
        <w:rPr>
          <w:spacing w:val="-3"/>
        </w:rPr>
        <w:t>按要求配建的物业、</w:t>
      </w:r>
      <w:r>
        <w:rPr>
          <w:spacing w:val="7"/>
        </w:rPr>
        <w:t>社区服务、养老、托育助残、医疗卫生、公共卫生间、文体等公共服务配套用房，建筑面积不计入容积率。此类用房应与项目同步设计、同步施工、同步验收、同步交付，不得违规出租出售或</w:t>
      </w:r>
      <w:r>
        <w:rPr>
          <w:spacing w:val="19"/>
        </w:rPr>
        <w:t>用于非公共服务用途，建成后无偿移交并将产权登记至相关部</w:t>
      </w:r>
      <w:r>
        <w:rPr>
          <w:spacing w:val="7"/>
        </w:rPr>
        <w:t>门，符合条件的风雨连廊建筑面积不计入容积率、建筑密度。</w:t>
      </w:r>
    </w:p>
    <w:p w14:paraId="39719DAF">
      <w:pPr>
        <w:pStyle w:val="2"/>
        <w:spacing w:before="189" w:line="305" w:lineRule="auto"/>
        <w:ind w:left="3" w:right="18" w:firstLine="632"/>
      </w:pPr>
      <w:r>
        <w:rPr>
          <w:b/>
          <w:bCs/>
          <w:spacing w:val="5"/>
        </w:rPr>
        <w:t>（十七）地下配套设施容积率激励。</w:t>
      </w:r>
      <w:r>
        <w:rPr>
          <w:spacing w:val="5"/>
        </w:rPr>
        <w:t>鼓励房地产开发企业利</w:t>
      </w:r>
      <w:r>
        <w:rPr>
          <w:spacing w:val="7"/>
        </w:rPr>
        <w:t>用地下空间增设体育设施、图书室、游泳馆、洗车房、健身房等</w:t>
      </w:r>
      <w:r>
        <w:rPr>
          <w:spacing w:val="-1"/>
        </w:rPr>
        <w:t>配套设施，建筑面积不计入容积率。建成后由开发企业自持运营，</w:t>
      </w:r>
      <w:r>
        <w:rPr>
          <w:spacing w:val="8"/>
        </w:rPr>
        <w:t>不得分割登记、转让、抵押。</w:t>
      </w:r>
    </w:p>
    <w:p w14:paraId="58903E0E">
      <w:pPr>
        <w:pStyle w:val="2"/>
        <w:spacing w:before="189" w:line="315" w:lineRule="auto"/>
        <w:ind w:left="12" w:right="97" w:firstLine="624"/>
      </w:pPr>
      <w:r>
        <w:rPr>
          <w:b/>
          <w:bCs/>
          <w:spacing w:val="5"/>
        </w:rPr>
        <w:t>（十八）阳台设置与容积率核算。</w:t>
      </w:r>
      <w:r>
        <w:rPr>
          <w:spacing w:val="5"/>
        </w:rPr>
        <w:t>主体结构内的阳台，进深</w:t>
      </w:r>
      <w:r>
        <w:rPr>
          <w:spacing w:val="7"/>
        </w:rPr>
        <w:t>2.1</w:t>
      </w:r>
      <w:r>
        <w:rPr>
          <w:spacing w:val="-38"/>
        </w:rPr>
        <w:t xml:space="preserve"> </w:t>
      </w:r>
      <w:r>
        <w:rPr>
          <w:spacing w:val="7"/>
        </w:rPr>
        <w:t>米以内的部分按水平投影面积的</w:t>
      </w:r>
      <w:r>
        <w:rPr>
          <w:spacing w:val="-40"/>
        </w:rPr>
        <w:t xml:space="preserve"> </w:t>
      </w:r>
      <w:r>
        <w:rPr>
          <w:spacing w:val="7"/>
        </w:rPr>
        <w:t>1/2</w:t>
      </w:r>
      <w:r>
        <w:rPr>
          <w:spacing w:val="-50"/>
        </w:rPr>
        <w:t xml:space="preserve"> </w:t>
      </w:r>
      <w:r>
        <w:rPr>
          <w:spacing w:val="7"/>
        </w:rPr>
        <w:t>计入容积率，超过</w:t>
      </w:r>
      <w:r>
        <w:rPr>
          <w:spacing w:val="-46"/>
        </w:rPr>
        <w:t xml:space="preserve"> </w:t>
      </w:r>
      <w:r>
        <w:rPr>
          <w:spacing w:val="7"/>
        </w:rPr>
        <w:t>2.1</w:t>
      </w:r>
      <w:r>
        <w:rPr>
          <w:spacing w:val="-3"/>
        </w:rPr>
        <w:t>米的部分按全面积计入；主体结构以外的阳台，进深不得超过</w:t>
      </w:r>
      <w:r>
        <w:rPr>
          <w:spacing w:val="-22"/>
        </w:rPr>
        <w:t xml:space="preserve"> </w:t>
      </w:r>
      <w:r>
        <w:rPr>
          <w:spacing w:val="-3"/>
        </w:rPr>
        <w:t>1.8</w:t>
      </w:r>
      <w:r>
        <w:rPr>
          <w:spacing w:val="7"/>
        </w:rPr>
        <w:t>米，不计入容积率；每户阳台水平投影面积之和不超过套内建筑面积（不含阳台）的 15%，超出部分按全面</w:t>
      </w:r>
      <w:r>
        <w:rPr>
          <w:spacing w:val="6"/>
        </w:rPr>
        <w:t>积计入容积率。房产</w:t>
      </w:r>
      <w:r>
        <w:rPr>
          <w:spacing w:val="7"/>
        </w:rPr>
        <w:t>测绘机构按此规则进行面积测算。</w:t>
      </w:r>
    </w:p>
    <w:p w14:paraId="64415F13">
      <w:pPr>
        <w:pStyle w:val="2"/>
        <w:spacing w:before="189" w:line="311" w:lineRule="auto"/>
        <w:ind w:left="8" w:right="95" w:firstLine="627"/>
      </w:pPr>
      <w:r>
        <w:rPr>
          <w:b/>
          <w:bCs/>
          <w:spacing w:val="6"/>
        </w:rPr>
        <w:t>（十九）飘窗设置要求。</w:t>
      </w:r>
      <w:r>
        <w:rPr>
          <w:spacing w:val="6"/>
        </w:rPr>
        <w:t>住宅建筑设置的飘窗，窗台面距室</w:t>
      </w:r>
      <w:r>
        <w:rPr>
          <w:spacing w:val="5"/>
        </w:rPr>
        <w:t>内地面需有一定高差，最大进深不超过</w:t>
      </w:r>
      <w:r>
        <w:rPr>
          <w:spacing w:val="-39"/>
        </w:rPr>
        <w:t xml:space="preserve"> </w:t>
      </w:r>
      <w:r>
        <w:rPr>
          <w:spacing w:val="5"/>
        </w:rPr>
        <w:t>0.8</w:t>
      </w:r>
      <w:r>
        <w:rPr>
          <w:spacing w:val="-53"/>
        </w:rPr>
        <w:t xml:space="preserve"> </w:t>
      </w:r>
      <w:r>
        <w:rPr>
          <w:spacing w:val="5"/>
        </w:rPr>
        <w:t>米</w:t>
      </w:r>
      <w:r>
        <w:rPr>
          <w:spacing w:val="4"/>
        </w:rPr>
        <w:t>，窗台面至顶板净</w:t>
      </w:r>
      <w:r>
        <w:rPr>
          <w:spacing w:val="5"/>
        </w:rPr>
        <w:t>高不大于</w:t>
      </w:r>
      <w:r>
        <w:rPr>
          <w:spacing w:val="-46"/>
        </w:rPr>
        <w:t xml:space="preserve"> </w:t>
      </w:r>
      <w:r>
        <w:rPr>
          <w:spacing w:val="5"/>
        </w:rPr>
        <w:t>2.1</w:t>
      </w:r>
      <w:r>
        <w:rPr>
          <w:spacing w:val="-52"/>
        </w:rPr>
        <w:t xml:space="preserve"> </w:t>
      </w:r>
      <w:r>
        <w:rPr>
          <w:spacing w:val="5"/>
        </w:rPr>
        <w:t>米。飘窗不计入容积率和建筑面积，不得设置在建</w:t>
      </w:r>
      <w:r>
        <w:rPr>
          <w:spacing w:val="7"/>
        </w:rPr>
        <w:t>筑山墙面，设置飘窗的房间不得连体叠加设置阳台；每户飘窗水</w:t>
      </w:r>
      <w:r>
        <w:rPr>
          <w:spacing w:val="8"/>
        </w:rPr>
        <w:t>平投影面积之和不超过套内建筑面积（不含飘窗）的</w:t>
      </w:r>
      <w:r>
        <w:rPr>
          <w:spacing w:val="-32"/>
        </w:rPr>
        <w:t xml:space="preserve"> </w:t>
      </w:r>
      <w:r>
        <w:rPr>
          <w:spacing w:val="8"/>
        </w:rPr>
        <w:t>10%。房产</w:t>
      </w:r>
    </w:p>
    <w:p w14:paraId="2CA0DEBB">
      <w:pPr>
        <w:spacing w:line="311" w:lineRule="auto"/>
        <w:sectPr>
          <w:footerReference r:id="rId13" w:type="default"/>
          <w:pgSz w:w="11906" w:h="16838"/>
          <w:pgMar w:top="400" w:right="1373" w:bottom="1315" w:left="1539" w:header="0" w:footer="951" w:gutter="0"/>
          <w:cols w:space="720" w:num="1"/>
        </w:sectPr>
      </w:pPr>
    </w:p>
    <w:p w14:paraId="383D9CE6">
      <w:pPr>
        <w:spacing w:line="243" w:lineRule="auto"/>
        <w:rPr>
          <w:rFonts w:ascii="Arial"/>
          <w:sz w:val="21"/>
        </w:rPr>
      </w:pPr>
    </w:p>
    <w:p w14:paraId="742DC4E8">
      <w:pPr>
        <w:spacing w:line="243" w:lineRule="auto"/>
        <w:rPr>
          <w:rFonts w:ascii="Arial"/>
          <w:sz w:val="21"/>
        </w:rPr>
      </w:pPr>
    </w:p>
    <w:p w14:paraId="5CBD8561">
      <w:pPr>
        <w:spacing w:line="243" w:lineRule="auto"/>
        <w:rPr>
          <w:rFonts w:ascii="Arial"/>
          <w:sz w:val="21"/>
        </w:rPr>
      </w:pPr>
    </w:p>
    <w:p w14:paraId="32515081">
      <w:pPr>
        <w:spacing w:line="244" w:lineRule="auto"/>
        <w:rPr>
          <w:rFonts w:ascii="Arial"/>
          <w:sz w:val="21"/>
        </w:rPr>
      </w:pPr>
    </w:p>
    <w:p w14:paraId="0BD9F5A0">
      <w:pPr>
        <w:spacing w:line="244" w:lineRule="auto"/>
        <w:rPr>
          <w:rFonts w:ascii="Arial"/>
          <w:sz w:val="21"/>
        </w:rPr>
      </w:pPr>
    </w:p>
    <w:p w14:paraId="3B0716EC">
      <w:pPr>
        <w:spacing w:line="244" w:lineRule="auto"/>
        <w:rPr>
          <w:rFonts w:ascii="Arial"/>
          <w:sz w:val="21"/>
        </w:rPr>
      </w:pPr>
    </w:p>
    <w:p w14:paraId="1018D6E0">
      <w:pPr>
        <w:spacing w:line="244" w:lineRule="auto"/>
        <w:rPr>
          <w:rFonts w:ascii="Arial"/>
          <w:sz w:val="21"/>
        </w:rPr>
      </w:pPr>
    </w:p>
    <w:p w14:paraId="4891EEFB">
      <w:pPr>
        <w:pStyle w:val="2"/>
        <w:spacing w:before="100" w:line="221" w:lineRule="auto"/>
        <w:ind w:left="17"/>
      </w:pPr>
      <w:r>
        <w:rPr>
          <w:spacing w:val="7"/>
        </w:rPr>
        <w:t>测绘机构按此规则进行面积测算。</w:t>
      </w:r>
    </w:p>
    <w:p w14:paraId="024BA18D">
      <w:pPr>
        <w:pStyle w:val="2"/>
        <w:spacing w:before="190" w:line="311" w:lineRule="auto"/>
        <w:ind w:right="2" w:firstLine="640"/>
      </w:pPr>
      <w:r>
        <w:rPr>
          <w:b/>
          <w:bCs/>
          <w:spacing w:val="6"/>
        </w:rPr>
        <w:t>（二十）设备平台配置标准。</w:t>
      </w:r>
      <w:r>
        <w:rPr>
          <w:spacing w:val="6"/>
        </w:rPr>
        <w:t>每套住宅可设置一个水平</w:t>
      </w:r>
      <w:r>
        <w:rPr>
          <w:spacing w:val="5"/>
        </w:rPr>
        <w:t>投影</w:t>
      </w:r>
      <w:r>
        <w:rPr>
          <w:spacing w:val="6"/>
        </w:rPr>
        <w:t>面积不大于</w:t>
      </w:r>
      <w:r>
        <w:rPr>
          <w:spacing w:val="-45"/>
        </w:rPr>
        <w:t xml:space="preserve"> </w:t>
      </w:r>
      <w:r>
        <w:rPr>
          <w:spacing w:val="6"/>
        </w:rPr>
        <w:t>6</w:t>
      </w:r>
      <w:r>
        <w:rPr>
          <w:spacing w:val="-57"/>
        </w:rPr>
        <w:t xml:space="preserve"> </w:t>
      </w:r>
      <w:r>
        <w:rPr>
          <w:spacing w:val="6"/>
        </w:rPr>
        <w:t>平方米的集中设备平台；分散</w:t>
      </w:r>
      <w:r>
        <w:rPr>
          <w:spacing w:val="5"/>
        </w:rPr>
        <w:t>设置时，数量不超过</w:t>
      </w:r>
      <w:r>
        <w:rPr>
          <w:spacing w:val="4"/>
        </w:rPr>
        <w:t>居住房间个数，每个不大于</w:t>
      </w:r>
      <w:r>
        <w:rPr>
          <w:spacing w:val="-38"/>
        </w:rPr>
        <w:t xml:space="preserve"> </w:t>
      </w:r>
      <w:r>
        <w:rPr>
          <w:spacing w:val="4"/>
        </w:rPr>
        <w:t>3</w:t>
      </w:r>
      <w:r>
        <w:rPr>
          <w:spacing w:val="-57"/>
        </w:rPr>
        <w:t xml:space="preserve"> </w:t>
      </w:r>
      <w:r>
        <w:rPr>
          <w:spacing w:val="4"/>
        </w:rPr>
        <w:t>平方米且总面积</w:t>
      </w:r>
      <w:r>
        <w:rPr>
          <w:spacing w:val="3"/>
        </w:rPr>
        <w:t>不超过</w:t>
      </w:r>
      <w:r>
        <w:rPr>
          <w:spacing w:val="-45"/>
        </w:rPr>
        <w:t xml:space="preserve"> </w:t>
      </w:r>
      <w:r>
        <w:rPr>
          <w:spacing w:val="3"/>
        </w:rPr>
        <w:t>6</w:t>
      </w:r>
      <w:r>
        <w:rPr>
          <w:spacing w:val="-57"/>
        </w:rPr>
        <w:t xml:space="preserve"> </w:t>
      </w:r>
      <w:r>
        <w:rPr>
          <w:spacing w:val="3"/>
        </w:rPr>
        <w:t>平方米。</w:t>
      </w:r>
      <w:r>
        <w:rPr>
          <w:spacing w:val="7"/>
        </w:rPr>
        <w:t>设备平台不计入容积率和建筑面积，房产测绘机构按此规则进行</w:t>
      </w:r>
      <w:r>
        <w:rPr>
          <w:spacing w:val="-3"/>
        </w:rPr>
        <w:t>面积测算。</w:t>
      </w:r>
    </w:p>
    <w:p w14:paraId="390C544F">
      <w:pPr>
        <w:pStyle w:val="2"/>
        <w:spacing w:before="191" w:line="319" w:lineRule="auto"/>
        <w:ind w:left="4" w:right="2" w:firstLine="635"/>
      </w:pPr>
      <w:r>
        <w:rPr>
          <w:b/>
          <w:bCs/>
          <w:spacing w:val="6"/>
        </w:rPr>
        <w:t>（二十一）架空层设置规定。</w:t>
      </w:r>
      <w:r>
        <w:rPr>
          <w:spacing w:val="6"/>
        </w:rPr>
        <w:t>居住用地内建筑底层可设</w:t>
      </w:r>
      <w:r>
        <w:rPr>
          <w:spacing w:val="5"/>
        </w:rPr>
        <w:t>置公</w:t>
      </w:r>
      <w:r>
        <w:rPr>
          <w:spacing w:val="7"/>
        </w:rPr>
        <w:t>共架空空间，满足交通、停车、休憩等需求，不得分割登记或分</w:t>
      </w:r>
      <w:r>
        <w:rPr>
          <w:spacing w:val="8"/>
        </w:rPr>
        <w:t>摊，不得设置全封闭围护结构，建筑面积不计入容积率；</w:t>
      </w:r>
      <w:r>
        <w:rPr>
          <w:spacing w:val="8"/>
          <w:sz w:val="30"/>
          <w:szCs w:val="30"/>
        </w:rPr>
        <w:t>架空平</w:t>
      </w:r>
      <w:r>
        <w:rPr>
          <w:spacing w:val="10"/>
          <w:sz w:val="30"/>
          <w:szCs w:val="30"/>
        </w:rPr>
        <w:t>台按地上建筑的要求进行退线，</w:t>
      </w:r>
      <w:r>
        <w:rPr>
          <w:spacing w:val="-79"/>
          <w:sz w:val="30"/>
          <w:szCs w:val="30"/>
        </w:rPr>
        <w:t xml:space="preserve"> </w:t>
      </w:r>
      <w:r>
        <w:rPr>
          <w:spacing w:val="10"/>
        </w:rPr>
        <w:t>以平台（含覆土）上皮作为室外</w:t>
      </w:r>
      <w:r>
        <w:rPr>
          <w:spacing w:val="7"/>
        </w:rPr>
        <w:t>地坪计算平台以上建筑基底面积、绿地面积、建筑层数及高度，</w:t>
      </w:r>
      <w:r>
        <w:rPr>
          <w:spacing w:val="8"/>
          <w:sz w:val="30"/>
          <w:szCs w:val="30"/>
        </w:rPr>
        <w:t>架空平台（含覆土）上坡不高于周边城市道路</w:t>
      </w:r>
      <w:r>
        <w:rPr>
          <w:spacing w:val="-46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0"/>
          <w:szCs w:val="30"/>
        </w:rPr>
        <w:t>6m</w:t>
      </w:r>
      <w:r>
        <w:rPr>
          <w:spacing w:val="8"/>
        </w:rPr>
        <w:t>；架空平台及以</w:t>
      </w:r>
      <w:r>
        <w:rPr>
          <w:spacing w:val="5"/>
        </w:rPr>
        <w:t>下各层计入建筑物基础，基础埋深超过</w:t>
      </w:r>
      <w:r>
        <w:rPr>
          <w:spacing w:val="-34"/>
        </w:rPr>
        <w:t xml:space="preserve"> </w:t>
      </w:r>
      <w:r>
        <w:rPr>
          <w:spacing w:val="5"/>
        </w:rPr>
        <w:t>3</w:t>
      </w:r>
      <w:r>
        <w:rPr>
          <w:spacing w:val="-54"/>
        </w:rPr>
        <w:t xml:space="preserve"> </w:t>
      </w:r>
      <w:r>
        <w:rPr>
          <w:spacing w:val="5"/>
        </w:rPr>
        <w:t>米的，按架空层以上建</w:t>
      </w:r>
      <w:r>
        <w:rPr>
          <w:spacing w:val="7"/>
        </w:rPr>
        <w:t>筑物首层投影面积计算应建人防工程面积。</w:t>
      </w:r>
    </w:p>
    <w:p w14:paraId="7D2B3E66">
      <w:pPr>
        <w:pStyle w:val="2"/>
        <w:spacing w:before="190" w:line="311" w:lineRule="auto"/>
        <w:ind w:left="7" w:firstLine="632"/>
      </w:pPr>
      <w:r>
        <w:rPr>
          <w:b/>
          <w:bCs/>
          <w:spacing w:val="6"/>
        </w:rPr>
        <w:t>（二十二）挑空空间容积率核算。</w:t>
      </w:r>
      <w:r>
        <w:rPr>
          <w:spacing w:val="6"/>
        </w:rPr>
        <w:t>住宅起居室（</w:t>
      </w:r>
      <w:r>
        <w:rPr>
          <w:spacing w:val="5"/>
        </w:rPr>
        <w:t>厅）可设置</w:t>
      </w:r>
      <w:r>
        <w:rPr>
          <w:spacing w:val="7"/>
        </w:rPr>
        <w:t>一处挑空空间，挑空部分不大于两层层高、水平投影面积不超过</w:t>
      </w:r>
      <w:r>
        <w:rPr>
          <w:spacing w:val="12"/>
        </w:rPr>
        <w:t>套型建筑面积</w:t>
      </w:r>
      <w:r>
        <w:rPr>
          <w:spacing w:val="-45"/>
        </w:rPr>
        <w:t xml:space="preserve"> </w:t>
      </w:r>
      <w:r>
        <w:rPr>
          <w:spacing w:val="12"/>
        </w:rPr>
        <w:t>20%且不大于</w:t>
      </w:r>
      <w:r>
        <w:rPr>
          <w:spacing w:val="-38"/>
        </w:rPr>
        <w:t xml:space="preserve"> </w:t>
      </w:r>
      <w:r>
        <w:rPr>
          <w:spacing w:val="12"/>
        </w:rPr>
        <w:t>50</w:t>
      </w:r>
      <w:r>
        <w:rPr>
          <w:spacing w:val="-50"/>
        </w:rPr>
        <w:t xml:space="preserve"> </w:t>
      </w:r>
      <w:r>
        <w:rPr>
          <w:spacing w:val="12"/>
        </w:rPr>
        <w:t>平方米的，按</w:t>
      </w:r>
      <w:r>
        <w:rPr>
          <w:spacing w:val="11"/>
        </w:rPr>
        <w:t>投影面积计算容积</w:t>
      </w:r>
      <w:r>
        <w:rPr>
          <w:spacing w:val="6"/>
        </w:rPr>
        <w:t>率；超出部分按</w:t>
      </w:r>
      <w:r>
        <w:rPr>
          <w:spacing w:val="-48"/>
        </w:rPr>
        <w:t xml:space="preserve"> </w:t>
      </w:r>
      <w:r>
        <w:rPr>
          <w:spacing w:val="6"/>
        </w:rPr>
        <w:t>2</w:t>
      </w:r>
      <w:r>
        <w:rPr>
          <w:spacing w:val="-66"/>
        </w:rPr>
        <w:t xml:space="preserve"> </w:t>
      </w:r>
      <w:r>
        <w:rPr>
          <w:spacing w:val="6"/>
        </w:rPr>
        <w:t>倍计算。公共部分门厅、归家大堂、</w:t>
      </w:r>
      <w:r>
        <w:rPr>
          <w:spacing w:val="5"/>
        </w:rPr>
        <w:t>中庭等内</w:t>
      </w:r>
      <w:r>
        <w:rPr>
          <w:spacing w:val="8"/>
        </w:rPr>
        <w:t>部挑空空间，不大于两层层高的建筑面积按单层</w:t>
      </w:r>
      <w:r>
        <w:rPr>
          <w:spacing w:val="7"/>
        </w:rPr>
        <w:t>计入容积率。</w:t>
      </w:r>
    </w:p>
    <w:p w14:paraId="12D641BD">
      <w:pPr>
        <w:pStyle w:val="2"/>
        <w:spacing w:before="185" w:line="306" w:lineRule="auto"/>
        <w:ind w:left="12" w:right="2" w:firstLine="627"/>
      </w:pPr>
      <w:r>
        <w:rPr>
          <w:b/>
          <w:bCs/>
          <w:spacing w:val="5"/>
        </w:rPr>
        <w:t>（二十三）设备用房及附属设施容积率政策。</w:t>
      </w:r>
      <w:r>
        <w:rPr>
          <w:spacing w:val="5"/>
        </w:rPr>
        <w:t>住宅建筑突出</w:t>
      </w:r>
      <w:r>
        <w:rPr>
          <w:spacing w:val="7"/>
        </w:rPr>
        <w:t>屋面的设备用房、楼梯间等，建筑面积之和不超过屋顶面积</w:t>
      </w:r>
      <w:r>
        <w:rPr>
          <w:spacing w:val="-23"/>
        </w:rPr>
        <w:t xml:space="preserve"> </w:t>
      </w:r>
      <w:r>
        <w:rPr>
          <w:spacing w:val="7"/>
        </w:rPr>
        <w:t>1/4的，不计入容积率，超出部分按全面积计入；地下车库出入口遮雨棚、室外风亭、配电间、换热站、消防泵房、变电室、非机动</w:t>
      </w:r>
    </w:p>
    <w:p w14:paraId="4E215C9D">
      <w:pPr>
        <w:spacing w:line="306" w:lineRule="auto"/>
        <w:sectPr>
          <w:footerReference r:id="rId14" w:type="default"/>
          <w:pgSz w:w="11906" w:h="16838"/>
          <w:pgMar w:top="400" w:right="1468" w:bottom="1315" w:left="1536" w:header="0" w:footer="951" w:gutter="0"/>
          <w:cols w:space="720" w:num="1"/>
        </w:sectPr>
      </w:pPr>
    </w:p>
    <w:p w14:paraId="2EC68197">
      <w:pPr>
        <w:spacing w:line="243" w:lineRule="auto"/>
        <w:rPr>
          <w:rFonts w:ascii="Arial"/>
          <w:sz w:val="21"/>
        </w:rPr>
      </w:pPr>
    </w:p>
    <w:p w14:paraId="164F3E7E">
      <w:pPr>
        <w:spacing w:line="243" w:lineRule="auto"/>
        <w:rPr>
          <w:rFonts w:ascii="Arial"/>
          <w:sz w:val="21"/>
        </w:rPr>
      </w:pPr>
    </w:p>
    <w:p w14:paraId="18904F6E">
      <w:pPr>
        <w:spacing w:line="243" w:lineRule="auto"/>
        <w:rPr>
          <w:rFonts w:ascii="Arial"/>
          <w:sz w:val="21"/>
        </w:rPr>
      </w:pPr>
    </w:p>
    <w:p w14:paraId="120A8453">
      <w:pPr>
        <w:spacing w:line="243" w:lineRule="auto"/>
        <w:rPr>
          <w:rFonts w:ascii="Arial"/>
          <w:sz w:val="21"/>
        </w:rPr>
      </w:pPr>
    </w:p>
    <w:p w14:paraId="721CA249">
      <w:pPr>
        <w:spacing w:line="244" w:lineRule="auto"/>
        <w:rPr>
          <w:rFonts w:ascii="Arial"/>
          <w:sz w:val="21"/>
        </w:rPr>
      </w:pPr>
    </w:p>
    <w:p w14:paraId="75EBFBFA">
      <w:pPr>
        <w:spacing w:line="244" w:lineRule="auto"/>
        <w:rPr>
          <w:rFonts w:ascii="Arial"/>
          <w:sz w:val="21"/>
        </w:rPr>
      </w:pPr>
    </w:p>
    <w:p w14:paraId="6B1C5BA4">
      <w:pPr>
        <w:spacing w:line="244" w:lineRule="auto"/>
        <w:rPr>
          <w:rFonts w:ascii="Arial"/>
          <w:sz w:val="21"/>
        </w:rPr>
      </w:pPr>
    </w:p>
    <w:p w14:paraId="3E603BCF">
      <w:pPr>
        <w:pStyle w:val="2"/>
        <w:spacing w:before="101" w:line="220" w:lineRule="auto"/>
        <w:ind w:left="17"/>
      </w:pPr>
      <w:r>
        <w:rPr>
          <w:spacing w:val="6"/>
        </w:rPr>
        <w:t>车车棚等用房，建筑面积不计入容积率和建筑密度。</w:t>
      </w:r>
    </w:p>
    <w:p w14:paraId="682E67E2">
      <w:pPr>
        <w:pStyle w:val="2"/>
        <w:spacing w:before="187" w:line="334" w:lineRule="auto"/>
        <w:ind w:left="1" w:right="84" w:firstLine="635"/>
        <w:jc w:val="both"/>
      </w:pPr>
      <w:r>
        <w:rPr>
          <w:b/>
          <w:bCs/>
          <w:spacing w:val="5"/>
        </w:rPr>
        <w:t>（二十四）建筑外墙相关容积率政策。</w:t>
      </w:r>
      <w:r>
        <w:rPr>
          <w:spacing w:val="5"/>
        </w:rPr>
        <w:t>建筑外墙保温不计入</w:t>
      </w:r>
      <w:r>
        <w:rPr>
          <w:spacing w:val="7"/>
        </w:rPr>
        <w:t>地块容积率。鼓励房地产企业选择新型外墙保温材料，提高节能性能。鼓励房地产企业采用石材、陶板、金属板等富有质感的高品质建筑立面装饰做法，其饰面层建筑面积不计入容积率。</w:t>
      </w:r>
    </w:p>
    <w:p w14:paraId="57839845">
      <w:pPr>
        <w:spacing w:line="227" w:lineRule="auto"/>
        <w:ind w:left="6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五、强化建设管理</w:t>
      </w:r>
    </w:p>
    <w:p w14:paraId="15FAEB80">
      <w:pPr>
        <w:pStyle w:val="2"/>
        <w:spacing w:before="177" w:line="306" w:lineRule="auto"/>
        <w:ind w:left="3" w:right="81" w:firstLine="632"/>
      </w:pPr>
      <w:r>
        <w:rPr>
          <w:rFonts w:ascii="楷体" w:hAnsi="楷体" w:eastAsia="楷体" w:cs="楷体"/>
          <w:b/>
          <w:bCs/>
          <w:spacing w:val="3"/>
        </w:rPr>
        <w:t>（</w:t>
      </w:r>
      <w:r>
        <w:rPr>
          <w:rFonts w:ascii="楷体" w:hAnsi="楷体" w:eastAsia="楷体" w:cs="楷体"/>
          <w:spacing w:val="-82"/>
        </w:rPr>
        <w:t xml:space="preserve"> </w:t>
      </w:r>
      <w:r>
        <w:rPr>
          <w:rFonts w:ascii="楷体" w:hAnsi="楷体" w:eastAsia="楷体" w:cs="楷体"/>
          <w:b/>
          <w:bCs/>
          <w:spacing w:val="3"/>
        </w:rPr>
        <w:t>二十五）落实绿色建筑标准。</w:t>
      </w:r>
      <w:r>
        <w:rPr>
          <w:spacing w:val="3"/>
        </w:rPr>
        <w:t>鼓励建设超低能耗、近零能</w:t>
      </w:r>
      <w:r>
        <w:rPr>
          <w:spacing w:val="7"/>
        </w:rPr>
        <w:t>耗和零碳建筑，开展试点示范。新开工住宅项目全面推行绿色施工模式，大力发展装配式建筑。政府投资的住宅项目原则上采用</w:t>
      </w:r>
      <w:r>
        <w:rPr>
          <w:spacing w:val="4"/>
        </w:rPr>
        <w:t>装配式建筑，逐年提高装配率。</w:t>
      </w:r>
    </w:p>
    <w:p w14:paraId="71813279">
      <w:pPr>
        <w:pStyle w:val="2"/>
        <w:spacing w:before="183" w:line="315" w:lineRule="auto"/>
        <w:ind w:left="5" w:firstLine="631"/>
      </w:pPr>
      <w:r>
        <w:rPr>
          <w:rFonts w:ascii="楷体" w:hAnsi="楷体" w:eastAsia="楷体" w:cs="楷体"/>
          <w:b/>
          <w:bCs/>
          <w:spacing w:val="-5"/>
        </w:rPr>
        <w:t>（</w:t>
      </w:r>
      <w:r>
        <w:rPr>
          <w:rFonts w:ascii="楷体" w:hAnsi="楷体" w:eastAsia="楷体" w:cs="楷体"/>
          <w:spacing w:val="-90"/>
        </w:rPr>
        <w:t xml:space="preserve"> </w:t>
      </w:r>
      <w:r>
        <w:rPr>
          <w:rFonts w:ascii="楷体" w:hAnsi="楷体" w:eastAsia="楷体" w:cs="楷体"/>
          <w:b/>
          <w:bCs/>
          <w:spacing w:val="-5"/>
        </w:rPr>
        <w:t>二十六）优化设计实施管理。</w:t>
      </w:r>
      <w:r>
        <w:rPr>
          <w:spacing w:val="-5"/>
        </w:rPr>
        <w:t>完善住宅建筑</w:t>
      </w:r>
      <w:r>
        <w:rPr>
          <w:spacing w:val="-6"/>
        </w:rPr>
        <w:t>设计管理制度，</w:t>
      </w:r>
      <w:r>
        <w:rPr>
          <w:spacing w:val="7"/>
        </w:rPr>
        <w:t>住宅方案审批需明确套型与面积要求，需将项目亮化效果纳入方案设计并同步组织实施验收。架空层、设备平台、阳台、立面饰面层等需在申报图纸中提供设计详图，不计容积率部分在分层面</w:t>
      </w:r>
      <w:r>
        <w:rPr>
          <w:spacing w:val="8"/>
        </w:rPr>
        <w:t>积表中备注说明，并在</w:t>
      </w:r>
      <w:r>
        <w:rPr>
          <w:spacing w:val="-89"/>
        </w:rPr>
        <w:t xml:space="preserve"> </w:t>
      </w:r>
      <w:r>
        <w:rPr>
          <w:spacing w:val="8"/>
        </w:rPr>
        <w:t>“多测合一”测绘成果报告中明确数据，</w:t>
      </w:r>
      <w:r>
        <w:rPr>
          <w:spacing w:val="3"/>
        </w:rPr>
        <w:t>确保设计与实施一致。</w:t>
      </w:r>
    </w:p>
    <w:p w14:paraId="4ED905FE">
      <w:pPr>
        <w:pStyle w:val="2"/>
        <w:spacing w:before="190" w:line="305" w:lineRule="auto"/>
        <w:ind w:left="7" w:right="83" w:firstLine="629"/>
      </w:pPr>
      <w:r>
        <w:rPr>
          <w:rFonts w:ascii="楷体" w:hAnsi="楷体" w:eastAsia="楷体" w:cs="楷体"/>
          <w:b/>
          <w:bCs/>
          <w:spacing w:val="3"/>
        </w:rPr>
        <w:t>（</w:t>
      </w:r>
      <w:r>
        <w:rPr>
          <w:rFonts w:ascii="楷体" w:hAnsi="楷体" w:eastAsia="楷体" w:cs="楷体"/>
          <w:spacing w:val="-84"/>
        </w:rPr>
        <w:t xml:space="preserve"> </w:t>
      </w:r>
      <w:r>
        <w:rPr>
          <w:rFonts w:ascii="楷体" w:hAnsi="楷体" w:eastAsia="楷体" w:cs="楷体"/>
          <w:b/>
          <w:bCs/>
          <w:spacing w:val="3"/>
        </w:rPr>
        <w:t>二十七）强化施工质量管控。</w:t>
      </w:r>
      <w:r>
        <w:rPr>
          <w:spacing w:val="3"/>
        </w:rPr>
        <w:t>落实房地产开发企业工程质</w:t>
      </w:r>
      <w:r>
        <w:rPr>
          <w:spacing w:val="7"/>
        </w:rPr>
        <w:t>量主体责任，加强对勘察、设计、施工、监理等单位的监管。重点管控建筑结构安全、防水工程、装饰装修等关键环节，推行工</w:t>
      </w:r>
      <w:r>
        <w:rPr>
          <w:spacing w:val="6"/>
        </w:rPr>
        <w:t>程质量终身责任制，确保工程质量符合标准。</w:t>
      </w:r>
    </w:p>
    <w:p w14:paraId="2CB1ED05">
      <w:pPr>
        <w:spacing w:before="190" w:line="226" w:lineRule="auto"/>
        <w:ind w:left="65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六、加强监督管理</w:t>
      </w:r>
    </w:p>
    <w:p w14:paraId="058F1241">
      <w:pPr>
        <w:pStyle w:val="2"/>
        <w:spacing w:before="181" w:line="333" w:lineRule="auto"/>
        <w:ind w:left="7" w:right="84" w:firstLine="629"/>
      </w:pPr>
      <w:r>
        <w:rPr>
          <w:rFonts w:ascii="楷体" w:hAnsi="楷体" w:eastAsia="楷体" w:cs="楷体"/>
          <w:b/>
          <w:bCs/>
          <w:spacing w:val="6"/>
        </w:rPr>
        <w:t>（二十八）压实企业主体责任。</w:t>
      </w:r>
      <w:r>
        <w:rPr>
          <w:spacing w:val="6"/>
        </w:rPr>
        <w:t>房地产开发</w:t>
      </w:r>
      <w:r>
        <w:rPr>
          <w:spacing w:val="5"/>
        </w:rPr>
        <w:t>企业不得擅自改</w:t>
      </w:r>
      <w:r>
        <w:rPr>
          <w:spacing w:val="7"/>
        </w:rPr>
        <w:t>造建筑结构、破坏建筑外立面等，严格履行项目建设承诺，确保</w:t>
      </w:r>
    </w:p>
    <w:p w14:paraId="1C26E539">
      <w:pPr>
        <w:spacing w:line="333" w:lineRule="auto"/>
        <w:sectPr>
          <w:footerReference r:id="rId15" w:type="default"/>
          <w:pgSz w:w="11906" w:h="16838"/>
          <w:pgMar w:top="400" w:right="1389" w:bottom="1315" w:left="1539" w:header="0" w:footer="951" w:gutter="0"/>
          <w:cols w:space="720" w:num="1"/>
        </w:sectPr>
      </w:pPr>
    </w:p>
    <w:p w14:paraId="5C4762D4">
      <w:pPr>
        <w:spacing w:line="243" w:lineRule="auto"/>
        <w:rPr>
          <w:rFonts w:ascii="Arial"/>
          <w:sz w:val="21"/>
        </w:rPr>
      </w:pPr>
    </w:p>
    <w:p w14:paraId="6A0ED850">
      <w:pPr>
        <w:spacing w:line="243" w:lineRule="auto"/>
        <w:rPr>
          <w:rFonts w:ascii="Arial"/>
          <w:sz w:val="21"/>
        </w:rPr>
      </w:pPr>
    </w:p>
    <w:p w14:paraId="76A53B85">
      <w:pPr>
        <w:spacing w:line="243" w:lineRule="auto"/>
        <w:rPr>
          <w:rFonts w:ascii="Arial"/>
          <w:sz w:val="21"/>
        </w:rPr>
      </w:pPr>
    </w:p>
    <w:p w14:paraId="6A6A59A2">
      <w:pPr>
        <w:spacing w:line="244" w:lineRule="auto"/>
        <w:rPr>
          <w:rFonts w:ascii="Arial"/>
          <w:sz w:val="21"/>
        </w:rPr>
      </w:pPr>
    </w:p>
    <w:p w14:paraId="54C71F9F">
      <w:pPr>
        <w:spacing w:line="244" w:lineRule="auto"/>
        <w:rPr>
          <w:rFonts w:ascii="Arial"/>
          <w:sz w:val="21"/>
        </w:rPr>
      </w:pPr>
    </w:p>
    <w:p w14:paraId="3C8880C7">
      <w:pPr>
        <w:spacing w:line="244" w:lineRule="auto"/>
        <w:rPr>
          <w:rFonts w:ascii="Arial"/>
          <w:sz w:val="21"/>
        </w:rPr>
      </w:pPr>
    </w:p>
    <w:p w14:paraId="5A6C2968">
      <w:pPr>
        <w:spacing w:line="244" w:lineRule="auto"/>
        <w:rPr>
          <w:rFonts w:ascii="Arial"/>
          <w:sz w:val="21"/>
        </w:rPr>
      </w:pPr>
    </w:p>
    <w:p w14:paraId="34792086">
      <w:pPr>
        <w:pStyle w:val="2"/>
        <w:spacing w:before="101" w:line="333" w:lineRule="auto"/>
        <w:ind w:left="5" w:right="102" w:firstLine="13"/>
      </w:pPr>
      <w:r>
        <w:rPr>
          <w:spacing w:val="7"/>
        </w:rPr>
        <w:t>配套设施按规划要求建设交付。加强企业信用管理，</w:t>
      </w:r>
      <w:r>
        <w:rPr>
          <w:spacing w:val="6"/>
        </w:rPr>
        <w:t>将违法违规</w:t>
      </w:r>
      <w:r>
        <w:rPr>
          <w:spacing w:val="5"/>
        </w:rPr>
        <w:t>行为等纳入信用档案，实施联合惩戒。</w:t>
      </w:r>
    </w:p>
    <w:p w14:paraId="27E8E678">
      <w:pPr>
        <w:pStyle w:val="2"/>
        <w:spacing w:before="8" w:line="314" w:lineRule="auto"/>
        <w:ind w:left="2" w:right="10" w:firstLine="635"/>
      </w:pPr>
      <w:r>
        <w:rPr>
          <w:rFonts w:ascii="楷体" w:hAnsi="楷体" w:eastAsia="楷体" w:cs="楷体"/>
          <w:b/>
          <w:bCs/>
          <w:spacing w:val="6"/>
        </w:rPr>
        <w:t>（二十九）强化物业服务监管。</w:t>
      </w:r>
      <w:r>
        <w:rPr>
          <w:spacing w:val="6"/>
        </w:rPr>
        <w:t>物业服务企</w:t>
      </w:r>
      <w:r>
        <w:rPr>
          <w:spacing w:val="5"/>
        </w:rPr>
        <w:t>业应按合同约定</w:t>
      </w:r>
      <w:r>
        <w:rPr>
          <w:spacing w:val="7"/>
        </w:rPr>
        <w:t>做好物业共用部位、共用设施设备的管理维护，建立常态化巡查机制，发现违反房屋安全使用规定的行为，及时制止并向相关部</w:t>
      </w:r>
      <w:r>
        <w:rPr>
          <w:spacing w:val="-1"/>
        </w:rPr>
        <w:t>门报告。规范物业服务收费行为，实行明码标价，提升服务质量。</w:t>
      </w:r>
      <w:r>
        <w:rPr>
          <w:spacing w:val="7"/>
        </w:rPr>
        <w:t>建立物业服务企业信用评价体系，对信用等级低、服务质量差的</w:t>
      </w:r>
      <w:r>
        <w:rPr>
          <w:spacing w:val="5"/>
        </w:rPr>
        <w:t>企业，依法依规限制市场准入。</w:t>
      </w:r>
    </w:p>
    <w:p w14:paraId="2D98BFC9">
      <w:pPr>
        <w:pStyle w:val="2"/>
        <w:spacing w:before="188" w:line="311" w:lineRule="auto"/>
        <w:ind w:firstLine="637"/>
      </w:pPr>
      <w:r>
        <w:rPr>
          <w:rFonts w:ascii="楷体" w:hAnsi="楷体" w:eastAsia="楷体" w:cs="楷体"/>
          <w:b/>
          <w:bCs/>
          <w:spacing w:val="-2"/>
        </w:rPr>
        <w:t>（三十）加强部门协同监管。</w:t>
      </w:r>
      <w:r>
        <w:rPr>
          <w:spacing w:val="-2"/>
        </w:rPr>
        <w:t>建立自然资源、住房城</w:t>
      </w:r>
      <w:r>
        <w:rPr>
          <w:spacing w:val="-3"/>
        </w:rPr>
        <w:t>乡建设、</w:t>
      </w:r>
      <w:r>
        <w:rPr>
          <w:spacing w:val="7"/>
        </w:rPr>
        <w:t>市场监管、金融管理等部门协同监管机制，加强对项目规划、建设、销售、交付、运维全流程监管，对违规建设、虚假销售、挪用资金等行为依法依规严肃处理。畅通投诉举报渠道，及时回应</w:t>
      </w:r>
      <w:r>
        <w:rPr>
          <w:spacing w:val="5"/>
        </w:rPr>
        <w:t>群众关切，确保政策落地见效。</w:t>
      </w:r>
    </w:p>
    <w:p w14:paraId="3B5406A9">
      <w:pPr>
        <w:pStyle w:val="2"/>
        <w:spacing w:before="187" w:line="334" w:lineRule="auto"/>
        <w:ind w:right="97" w:firstLine="645"/>
        <w:jc w:val="both"/>
      </w:pPr>
      <w:r>
        <w:rPr>
          <w:spacing w:val="20"/>
        </w:rPr>
        <w:t>本意见由达拉特旗自然资源局、住房和城乡建设局负责解</w:t>
      </w:r>
      <w:r>
        <w:rPr>
          <w:spacing w:val="5"/>
        </w:rPr>
        <w:t>释，</w:t>
      </w:r>
      <w:r>
        <w:rPr>
          <w:spacing w:val="-85"/>
        </w:rPr>
        <w:t xml:space="preserve"> </w:t>
      </w:r>
      <w:r>
        <w:rPr>
          <w:spacing w:val="5"/>
        </w:rPr>
        <w:t>自印发之日起实施，有效期二年。本意见实行后，上级另有规定的，按上级有关规定执行。</w:t>
      </w:r>
    </w:p>
    <w:p w14:paraId="041F4200">
      <w:pPr>
        <w:spacing w:line="334" w:lineRule="auto"/>
        <w:sectPr>
          <w:footerReference r:id="rId16" w:type="default"/>
          <w:pgSz w:w="11906" w:h="16838"/>
          <w:pgMar w:top="400" w:right="1373" w:bottom="1315" w:left="1538" w:header="0" w:footer="949" w:gutter="0"/>
          <w:cols w:space="720" w:num="1"/>
        </w:sectPr>
      </w:pPr>
    </w:p>
    <w:p w14:paraId="2D700207">
      <w:pPr>
        <w:spacing w:line="242" w:lineRule="auto"/>
        <w:rPr>
          <w:rFonts w:ascii="Arial"/>
          <w:sz w:val="21"/>
        </w:rPr>
      </w:pPr>
    </w:p>
    <w:p w14:paraId="25C0FC5A">
      <w:pPr>
        <w:spacing w:line="242" w:lineRule="auto"/>
        <w:rPr>
          <w:rFonts w:ascii="Arial"/>
          <w:sz w:val="21"/>
        </w:rPr>
      </w:pPr>
    </w:p>
    <w:p w14:paraId="1BC1B3A2">
      <w:pPr>
        <w:spacing w:line="242" w:lineRule="auto"/>
        <w:rPr>
          <w:rFonts w:ascii="Arial"/>
          <w:sz w:val="21"/>
        </w:rPr>
      </w:pPr>
    </w:p>
    <w:p w14:paraId="7EEA6FF1">
      <w:pPr>
        <w:spacing w:line="242" w:lineRule="auto"/>
        <w:rPr>
          <w:rFonts w:ascii="Arial"/>
          <w:sz w:val="21"/>
        </w:rPr>
      </w:pPr>
    </w:p>
    <w:p w14:paraId="4BFAC979">
      <w:pPr>
        <w:spacing w:line="242" w:lineRule="auto"/>
        <w:rPr>
          <w:rFonts w:ascii="Arial"/>
          <w:sz w:val="21"/>
        </w:rPr>
      </w:pPr>
    </w:p>
    <w:p w14:paraId="30E5D447">
      <w:pPr>
        <w:spacing w:line="242" w:lineRule="auto"/>
        <w:rPr>
          <w:rFonts w:ascii="Arial"/>
          <w:sz w:val="21"/>
        </w:rPr>
      </w:pPr>
    </w:p>
    <w:p w14:paraId="7FAF2507">
      <w:pPr>
        <w:spacing w:line="242" w:lineRule="auto"/>
        <w:rPr>
          <w:rFonts w:ascii="Arial"/>
          <w:sz w:val="21"/>
        </w:rPr>
      </w:pPr>
    </w:p>
    <w:p w14:paraId="08C40B3C">
      <w:pPr>
        <w:spacing w:line="242" w:lineRule="auto"/>
        <w:rPr>
          <w:rFonts w:ascii="Arial"/>
          <w:sz w:val="21"/>
        </w:rPr>
      </w:pPr>
    </w:p>
    <w:p w14:paraId="3B8CC6D8">
      <w:pPr>
        <w:spacing w:line="242" w:lineRule="auto"/>
        <w:rPr>
          <w:rFonts w:ascii="Arial"/>
          <w:sz w:val="21"/>
        </w:rPr>
      </w:pPr>
    </w:p>
    <w:p w14:paraId="5633D10A">
      <w:pPr>
        <w:spacing w:line="242" w:lineRule="auto"/>
        <w:rPr>
          <w:rFonts w:ascii="Arial"/>
          <w:sz w:val="21"/>
        </w:rPr>
      </w:pPr>
    </w:p>
    <w:p w14:paraId="533D4162">
      <w:pPr>
        <w:spacing w:line="242" w:lineRule="auto"/>
        <w:rPr>
          <w:rFonts w:ascii="Arial"/>
          <w:sz w:val="21"/>
        </w:rPr>
      </w:pPr>
    </w:p>
    <w:p w14:paraId="657F17AB">
      <w:pPr>
        <w:spacing w:line="242" w:lineRule="auto"/>
        <w:rPr>
          <w:rFonts w:ascii="Arial"/>
          <w:sz w:val="21"/>
        </w:rPr>
      </w:pPr>
    </w:p>
    <w:p w14:paraId="0958BF9B">
      <w:pPr>
        <w:spacing w:line="242" w:lineRule="auto"/>
        <w:rPr>
          <w:rFonts w:ascii="Arial"/>
          <w:sz w:val="21"/>
        </w:rPr>
      </w:pPr>
    </w:p>
    <w:p w14:paraId="71DEB8E0">
      <w:pPr>
        <w:spacing w:line="242" w:lineRule="auto"/>
        <w:rPr>
          <w:rFonts w:ascii="Arial"/>
          <w:sz w:val="21"/>
        </w:rPr>
      </w:pPr>
    </w:p>
    <w:p w14:paraId="5F4F94C0">
      <w:pPr>
        <w:spacing w:line="242" w:lineRule="auto"/>
        <w:rPr>
          <w:rFonts w:ascii="Arial"/>
          <w:sz w:val="21"/>
        </w:rPr>
      </w:pPr>
    </w:p>
    <w:p w14:paraId="4E368F87">
      <w:pPr>
        <w:spacing w:line="242" w:lineRule="auto"/>
        <w:rPr>
          <w:rFonts w:ascii="Arial"/>
          <w:sz w:val="21"/>
        </w:rPr>
      </w:pPr>
    </w:p>
    <w:p w14:paraId="4AECDD44">
      <w:pPr>
        <w:spacing w:line="242" w:lineRule="auto"/>
        <w:rPr>
          <w:rFonts w:ascii="Arial"/>
          <w:sz w:val="21"/>
        </w:rPr>
      </w:pPr>
    </w:p>
    <w:p w14:paraId="577DBBCC">
      <w:pPr>
        <w:spacing w:line="242" w:lineRule="auto"/>
        <w:rPr>
          <w:rFonts w:ascii="Arial"/>
          <w:sz w:val="21"/>
        </w:rPr>
      </w:pPr>
    </w:p>
    <w:p w14:paraId="7ACE374B">
      <w:pPr>
        <w:spacing w:line="242" w:lineRule="auto"/>
        <w:rPr>
          <w:rFonts w:ascii="Arial"/>
          <w:sz w:val="21"/>
        </w:rPr>
      </w:pPr>
    </w:p>
    <w:p w14:paraId="7B6E8239">
      <w:pPr>
        <w:spacing w:line="242" w:lineRule="auto"/>
        <w:rPr>
          <w:rFonts w:ascii="Arial"/>
          <w:sz w:val="21"/>
        </w:rPr>
      </w:pPr>
    </w:p>
    <w:p w14:paraId="54D13659">
      <w:pPr>
        <w:spacing w:line="242" w:lineRule="auto"/>
        <w:rPr>
          <w:rFonts w:ascii="Arial"/>
          <w:sz w:val="21"/>
        </w:rPr>
      </w:pPr>
    </w:p>
    <w:p w14:paraId="2BB82618">
      <w:pPr>
        <w:spacing w:line="242" w:lineRule="auto"/>
        <w:rPr>
          <w:rFonts w:ascii="Arial"/>
          <w:sz w:val="21"/>
        </w:rPr>
      </w:pPr>
    </w:p>
    <w:p w14:paraId="4F909567">
      <w:pPr>
        <w:spacing w:line="242" w:lineRule="auto"/>
        <w:rPr>
          <w:rFonts w:ascii="Arial"/>
          <w:sz w:val="21"/>
        </w:rPr>
      </w:pPr>
    </w:p>
    <w:p w14:paraId="22BF5EE5">
      <w:pPr>
        <w:spacing w:line="242" w:lineRule="auto"/>
        <w:rPr>
          <w:rFonts w:ascii="Arial"/>
          <w:sz w:val="21"/>
        </w:rPr>
      </w:pPr>
    </w:p>
    <w:p w14:paraId="723F7821">
      <w:pPr>
        <w:spacing w:line="242" w:lineRule="auto"/>
        <w:rPr>
          <w:rFonts w:ascii="Arial"/>
          <w:sz w:val="21"/>
        </w:rPr>
      </w:pPr>
    </w:p>
    <w:p w14:paraId="6AED5F0F">
      <w:pPr>
        <w:spacing w:line="242" w:lineRule="auto"/>
        <w:rPr>
          <w:rFonts w:ascii="Arial"/>
          <w:sz w:val="21"/>
        </w:rPr>
      </w:pPr>
    </w:p>
    <w:p w14:paraId="3DCD94EB">
      <w:pPr>
        <w:spacing w:line="242" w:lineRule="auto"/>
        <w:rPr>
          <w:rFonts w:ascii="Arial"/>
          <w:sz w:val="21"/>
        </w:rPr>
      </w:pPr>
    </w:p>
    <w:p w14:paraId="13F5DD74">
      <w:pPr>
        <w:spacing w:line="242" w:lineRule="auto"/>
        <w:rPr>
          <w:rFonts w:ascii="Arial"/>
          <w:sz w:val="21"/>
        </w:rPr>
      </w:pPr>
    </w:p>
    <w:p w14:paraId="5C16145E">
      <w:pPr>
        <w:spacing w:line="242" w:lineRule="auto"/>
        <w:rPr>
          <w:rFonts w:ascii="Arial"/>
          <w:sz w:val="21"/>
        </w:rPr>
      </w:pPr>
    </w:p>
    <w:p w14:paraId="727CE1E9">
      <w:pPr>
        <w:spacing w:line="242" w:lineRule="auto"/>
        <w:rPr>
          <w:rFonts w:ascii="Arial"/>
          <w:sz w:val="21"/>
        </w:rPr>
      </w:pPr>
    </w:p>
    <w:p w14:paraId="7537447D">
      <w:pPr>
        <w:spacing w:line="242" w:lineRule="auto"/>
        <w:rPr>
          <w:rFonts w:ascii="Arial"/>
          <w:sz w:val="21"/>
        </w:rPr>
      </w:pPr>
    </w:p>
    <w:p w14:paraId="31F3CBE2">
      <w:pPr>
        <w:spacing w:line="242" w:lineRule="auto"/>
        <w:rPr>
          <w:rFonts w:ascii="Arial"/>
          <w:sz w:val="21"/>
        </w:rPr>
      </w:pPr>
    </w:p>
    <w:p w14:paraId="445487CF">
      <w:pPr>
        <w:spacing w:line="242" w:lineRule="auto"/>
        <w:rPr>
          <w:rFonts w:ascii="Arial"/>
          <w:sz w:val="21"/>
        </w:rPr>
      </w:pPr>
    </w:p>
    <w:p w14:paraId="462D926D">
      <w:pPr>
        <w:spacing w:line="242" w:lineRule="auto"/>
        <w:rPr>
          <w:rFonts w:ascii="Arial"/>
          <w:sz w:val="21"/>
        </w:rPr>
      </w:pPr>
    </w:p>
    <w:p w14:paraId="4430927F">
      <w:pPr>
        <w:spacing w:line="242" w:lineRule="auto"/>
        <w:rPr>
          <w:rFonts w:ascii="Arial"/>
          <w:sz w:val="21"/>
        </w:rPr>
      </w:pPr>
    </w:p>
    <w:p w14:paraId="3B1A3B18">
      <w:pPr>
        <w:spacing w:line="242" w:lineRule="auto"/>
        <w:rPr>
          <w:rFonts w:ascii="Arial"/>
          <w:sz w:val="21"/>
        </w:rPr>
      </w:pPr>
    </w:p>
    <w:p w14:paraId="0A013917">
      <w:pPr>
        <w:spacing w:line="242" w:lineRule="auto"/>
        <w:rPr>
          <w:rFonts w:ascii="Arial"/>
          <w:sz w:val="21"/>
        </w:rPr>
      </w:pPr>
    </w:p>
    <w:p w14:paraId="3936B104">
      <w:pPr>
        <w:spacing w:line="242" w:lineRule="auto"/>
        <w:rPr>
          <w:rFonts w:ascii="Arial"/>
          <w:sz w:val="21"/>
        </w:rPr>
      </w:pPr>
    </w:p>
    <w:p w14:paraId="2D80CBF2">
      <w:pPr>
        <w:spacing w:line="242" w:lineRule="auto"/>
        <w:rPr>
          <w:rFonts w:ascii="Arial"/>
          <w:sz w:val="21"/>
        </w:rPr>
      </w:pPr>
    </w:p>
    <w:p w14:paraId="02D53B4B">
      <w:pPr>
        <w:spacing w:line="243" w:lineRule="auto"/>
        <w:rPr>
          <w:rFonts w:ascii="Arial"/>
          <w:sz w:val="21"/>
        </w:rPr>
      </w:pPr>
    </w:p>
    <w:p w14:paraId="79A6FD0C">
      <w:pPr>
        <w:spacing w:line="243" w:lineRule="auto"/>
        <w:rPr>
          <w:rFonts w:ascii="Arial"/>
          <w:sz w:val="21"/>
        </w:rPr>
      </w:pPr>
    </w:p>
    <w:p w14:paraId="48594E7F">
      <w:pPr>
        <w:spacing w:line="243" w:lineRule="auto"/>
        <w:rPr>
          <w:rFonts w:ascii="Arial"/>
          <w:sz w:val="21"/>
        </w:rPr>
      </w:pPr>
    </w:p>
    <w:p w14:paraId="6493144B">
      <w:pPr>
        <w:spacing w:line="243" w:lineRule="auto"/>
        <w:rPr>
          <w:rFonts w:ascii="Arial"/>
          <w:sz w:val="21"/>
        </w:rPr>
      </w:pPr>
    </w:p>
    <w:p w14:paraId="76600340">
      <w:pPr>
        <w:spacing w:line="243" w:lineRule="auto"/>
        <w:rPr>
          <w:rFonts w:ascii="Arial"/>
          <w:sz w:val="21"/>
        </w:rPr>
      </w:pPr>
    </w:p>
    <w:p w14:paraId="4F516965">
      <w:pPr>
        <w:spacing w:line="243" w:lineRule="auto"/>
        <w:rPr>
          <w:rFonts w:ascii="Arial"/>
          <w:sz w:val="21"/>
        </w:rPr>
      </w:pPr>
    </w:p>
    <w:p w14:paraId="2E8167D7">
      <w:pPr>
        <w:spacing w:line="243" w:lineRule="auto"/>
        <w:rPr>
          <w:rFonts w:ascii="Arial"/>
          <w:sz w:val="21"/>
        </w:rPr>
      </w:pPr>
    </w:p>
    <w:p w14:paraId="41C1F127">
      <w:pPr>
        <w:spacing w:line="243" w:lineRule="auto"/>
        <w:rPr>
          <w:rFonts w:ascii="Arial"/>
          <w:sz w:val="21"/>
        </w:rPr>
      </w:pPr>
    </w:p>
    <w:p w14:paraId="4DC62863">
      <w:pPr>
        <w:spacing w:line="243" w:lineRule="auto"/>
        <w:rPr>
          <w:rFonts w:ascii="Arial"/>
          <w:sz w:val="21"/>
        </w:rPr>
      </w:pPr>
    </w:p>
    <w:p w14:paraId="71AA1E5F">
      <w:pPr>
        <w:spacing w:line="243" w:lineRule="auto"/>
        <w:rPr>
          <w:rFonts w:ascii="Arial"/>
          <w:sz w:val="21"/>
        </w:rPr>
      </w:pPr>
    </w:p>
    <w:p w14:paraId="12BA5A9E">
      <w:pPr>
        <w:spacing w:line="243" w:lineRule="auto"/>
        <w:rPr>
          <w:rFonts w:ascii="Arial"/>
          <w:sz w:val="21"/>
        </w:rPr>
      </w:pPr>
    </w:p>
    <w:p w14:paraId="6D3D3C79">
      <w:pPr>
        <w:spacing w:line="243" w:lineRule="auto"/>
        <w:rPr>
          <w:rFonts w:ascii="Arial"/>
          <w:sz w:val="21"/>
        </w:rPr>
      </w:pPr>
    </w:p>
    <w:p w14:paraId="11F3F395">
      <w:pPr>
        <w:spacing w:line="243" w:lineRule="auto"/>
        <w:rPr>
          <w:rFonts w:ascii="Arial"/>
          <w:sz w:val="21"/>
        </w:rPr>
      </w:pPr>
    </w:p>
    <w:p w14:paraId="2D41AE97">
      <w:pPr>
        <w:spacing w:line="243" w:lineRule="auto"/>
        <w:rPr>
          <w:rFonts w:ascii="Arial"/>
          <w:sz w:val="21"/>
        </w:rPr>
      </w:pPr>
    </w:p>
    <w:p w14:paraId="21D91173">
      <w:pPr>
        <w:spacing w:line="243" w:lineRule="auto"/>
        <w:rPr>
          <w:rFonts w:ascii="Arial"/>
          <w:sz w:val="21"/>
        </w:rPr>
      </w:pPr>
    </w:p>
    <w:p w14:paraId="63E33C35">
      <w:pPr>
        <w:spacing w:line="243" w:lineRule="auto"/>
        <w:rPr>
          <w:rFonts w:ascii="Arial"/>
          <w:sz w:val="21"/>
        </w:rPr>
      </w:pPr>
    </w:p>
    <w:p w14:paraId="4491C300">
      <w:pPr>
        <w:spacing w:line="243" w:lineRule="auto"/>
        <w:rPr>
          <w:rFonts w:ascii="Arial"/>
          <w:sz w:val="21"/>
        </w:rPr>
      </w:pPr>
    </w:p>
    <w:p w14:paraId="5F5C6DD9">
      <w:pPr>
        <w:spacing w:line="30" w:lineRule="exact"/>
        <w:ind w:firstLine="12"/>
      </w:pPr>
      <w:r>
        <w:drawing>
          <wp:inline distT="0" distB="0" distL="0" distR="0">
            <wp:extent cx="5615305" cy="1905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15848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DC5B8">
      <w:pPr>
        <w:pStyle w:val="2"/>
        <w:spacing w:before="117" w:line="217" w:lineRule="auto"/>
        <w:ind w:left="294"/>
        <w:rPr>
          <w:sz w:val="28"/>
          <w:szCs w:val="28"/>
        </w:rPr>
      </w:pPr>
      <w:r>
        <w:rPr>
          <w:spacing w:val="-8"/>
          <w:sz w:val="28"/>
          <w:szCs w:val="28"/>
        </w:rPr>
        <w:t>达拉特旗人民政府办公室</w:t>
      </w:r>
      <w:r>
        <w:rPr>
          <w:spacing w:val="1"/>
          <w:sz w:val="28"/>
          <w:szCs w:val="28"/>
        </w:rPr>
        <w:t xml:space="preserve">                  </w:t>
      </w:r>
      <w:r>
        <w:rPr>
          <w:spacing w:val="-8"/>
          <w:sz w:val="28"/>
          <w:szCs w:val="28"/>
        </w:rPr>
        <w:t>2026</w:t>
      </w:r>
      <w:r>
        <w:rPr>
          <w:spacing w:val="-54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年</w:t>
      </w:r>
      <w:r>
        <w:rPr>
          <w:spacing w:val="-49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2</w:t>
      </w:r>
      <w:r>
        <w:rPr>
          <w:spacing w:val="-44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月</w:t>
      </w:r>
      <w:r>
        <w:rPr>
          <w:spacing w:val="-49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2 日印发</w:t>
      </w:r>
    </w:p>
    <w:p w14:paraId="6AFBC313">
      <w:pPr>
        <w:spacing w:before="23" w:line="30" w:lineRule="exact"/>
      </w:pPr>
      <w:r>
        <w:drawing>
          <wp:inline distT="0" distB="0" distL="0" distR="0">
            <wp:extent cx="5615305" cy="1905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15847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17" w:type="default"/>
      <w:pgSz w:w="11906" w:h="16838"/>
      <w:pgMar w:top="400" w:right="1520" w:bottom="1315" w:left="1527" w:header="0" w:footer="9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XiaoBiaoSong-B05S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D8941">
    <w:pPr>
      <w:spacing w:line="235" w:lineRule="auto"/>
      <w:ind w:left="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9414F">
    <w:pPr>
      <w:spacing w:line="235" w:lineRule="auto"/>
      <w:ind w:left="806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54831">
    <w:pPr>
      <w:spacing w:line="235" w:lineRule="auto"/>
      <w:ind w:left="1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E1FF0">
    <w:pPr>
      <w:spacing w:line="233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2"/>
        <w:sz w:val="28"/>
        <w:szCs w:val="28"/>
      </w:rPr>
      <w:t>-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3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D4E23">
    <w:pPr>
      <w:spacing w:line="23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6709B">
    <w:pPr>
      <w:spacing w:line="233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2"/>
        <w:sz w:val="28"/>
        <w:szCs w:val="28"/>
      </w:rPr>
      <w:t>-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5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93DD9">
    <w:pPr>
      <w:spacing w:line="233" w:lineRule="auto"/>
      <w:ind w:left="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8DE4A">
    <w:pPr>
      <w:spacing w:line="233" w:lineRule="auto"/>
      <w:ind w:left="819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7704F">
    <w:pPr>
      <w:spacing w:line="233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44F83">
    <w:pPr>
      <w:spacing w:line="233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9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FAFEC">
    <w:pPr>
      <w:spacing w:line="233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10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3D0BA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38BE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5E7023"/>
    <w:rsid w:val="2AEC18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image" Target="media/image3.png"/><Relationship Id="rId20" Type="http://schemas.openxmlformats.org/officeDocument/2006/relationships/image" Target="media/image2.png"/><Relationship Id="rId2" Type="http://schemas.openxmlformats.org/officeDocument/2006/relationships/settings" Target="settings.xml"/><Relationship Id="rId19" Type="http://schemas.openxmlformats.org/officeDocument/2006/relationships/image" Target="media/image1.png"/><Relationship Id="rId18" Type="http://schemas.openxmlformats.org/officeDocument/2006/relationships/theme" Target="theme/theme1.xml"/><Relationship Id="rId17" Type="http://schemas.openxmlformats.org/officeDocument/2006/relationships/footer" Target="footer11.xml"/><Relationship Id="rId16" Type="http://schemas.openxmlformats.org/officeDocument/2006/relationships/footer" Target="footer10.xml"/><Relationship Id="rId15" Type="http://schemas.openxmlformats.org/officeDocument/2006/relationships/footer" Target="footer9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5624</Words>
  <Characters>5748</Characters>
  <TotalTime>0</TotalTime>
  <ScaleCrop>false</ScaleCrop>
  <LinksUpToDate>false</LinksUpToDate>
  <CharactersWithSpaces>5923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2026-02-25T10:38:00Z</dcterms:created>
  <dc:creator>李星*</dc:creator>
  <cp:lastModifiedBy>达拉特旗人民政府(拟稿)</cp:lastModifiedBy>
  <dcterms:modified xsi:type="dcterms:W3CDTF">2026-04-22T03:50:39Z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2026-02-25T10:38:40Z</vt:filetime>
  </property>
  <property fmtid="{D5CDD505-2E9C-101B-9397-08002B2CF9AE}" pid="4" name="KSOTemplateDocerSaveRecord">
    <vt:lpwstr>eyJoZGlkIjoiZGRlYzZlMDNjZmIzMDE1MDIyMGEyZjI0MTUzOWUwZTIiLCJ1c2VySWQiOiIyNDc1MjUzMDgifQ==</vt:lpwstr>
  </property>
  <property fmtid="{D5CDD505-2E9C-101B-9397-08002B2CF9AE}" pid="5" name="KSOProductBuildVer">
    <vt:lpwstr>2052-12.1.0.25865</vt:lpwstr>
  </property>
  <property fmtid="{D5CDD505-2E9C-101B-9397-08002B2CF9AE}" pid="6" name="ICV">
    <vt:lpwstr>30BD366B51484F198C58B8E3D3709CCE_13</vt:lpwstr>
  </property>
</Properties>
</file>