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F43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方正小标宋简体" w:eastAsia="方正小标宋简体"/>
          <w:sz w:val="44"/>
          <w:szCs w:val="44"/>
        </w:rPr>
      </w:pPr>
      <w:r>
        <w:rPr>
          <w:rFonts w:hint="eastAsia" w:ascii="方正小标宋简体" w:hAnsi="华文中宋" w:eastAsia="方正小标宋简体"/>
          <w:sz w:val="44"/>
          <w:szCs w:val="44"/>
          <w:lang w:eastAsia="zh-CN"/>
        </w:rPr>
        <w:t>达拉特旗人民政府关于</w:t>
      </w:r>
      <w:r>
        <w:rPr>
          <w:rFonts w:hint="eastAsia" w:ascii="方正小标宋简体" w:hAnsi="华文中宋" w:eastAsia="方正小标宋简体"/>
          <w:sz w:val="44"/>
          <w:szCs w:val="44"/>
          <w:lang w:val="en-US" w:eastAsia="zh-CN"/>
        </w:rPr>
        <w:t>印发《</w:t>
      </w:r>
      <w:r>
        <w:rPr>
          <w:rFonts w:hint="eastAsia" w:ascii="方正小标宋简体" w:eastAsia="方正小标宋简体"/>
          <w:sz w:val="44"/>
          <w:szCs w:val="44"/>
        </w:rPr>
        <w:t>达拉特旗隐形</w:t>
      </w:r>
    </w:p>
    <w:p w14:paraId="2D40E9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冠军加速部落</w:t>
      </w:r>
      <w:r>
        <w:rPr>
          <w:rFonts w:hint="eastAsia" w:ascii="方正小标宋简体" w:eastAsia="方正小标宋简体"/>
          <w:sz w:val="44"/>
          <w:szCs w:val="44"/>
          <w:lang w:eastAsia="zh-CN"/>
        </w:rPr>
        <w:t>运营</w:t>
      </w:r>
      <w:r>
        <w:rPr>
          <w:rFonts w:hint="eastAsia" w:ascii="方正小标宋简体" w:eastAsia="方正小标宋简体"/>
          <w:sz w:val="44"/>
          <w:szCs w:val="44"/>
        </w:rPr>
        <w:t>管理办法</w:t>
      </w:r>
    </w:p>
    <w:p w14:paraId="4FA744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方正小标宋简体" w:hAnsi="华文中宋" w:eastAsia="方正小标宋简体"/>
          <w:sz w:val="44"/>
          <w:szCs w:val="44"/>
        </w:rPr>
      </w:pPr>
      <w:r>
        <w:rPr>
          <w:rFonts w:hint="eastAsia" w:ascii="方正小标宋简体" w:eastAsia="方正小标宋简体"/>
          <w:sz w:val="44"/>
          <w:szCs w:val="44"/>
          <w:lang w:eastAsia="zh-CN"/>
        </w:rPr>
        <w:t>（修订版）</w:t>
      </w:r>
      <w:r>
        <w:rPr>
          <w:rFonts w:hint="eastAsia" w:ascii="方正小标宋简体" w:hAnsi="华文中宋" w:eastAsia="方正小标宋简体"/>
          <w:sz w:val="44"/>
          <w:szCs w:val="44"/>
          <w:lang w:val="en-US" w:eastAsia="zh-CN"/>
        </w:rPr>
        <w:t>》的</w:t>
      </w:r>
      <w:r>
        <w:rPr>
          <w:rFonts w:hint="eastAsia" w:ascii="方正小标宋简体" w:hAnsi="华文中宋" w:eastAsia="方正小标宋简体"/>
          <w:sz w:val="44"/>
          <w:szCs w:val="44"/>
          <w:lang w:eastAsia="zh-CN"/>
        </w:rPr>
        <w:t>通知</w:t>
      </w:r>
    </w:p>
    <w:p w14:paraId="1636F3E3">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eastAsia="仿宋_GB2312"/>
          <w:sz w:val="32"/>
          <w:lang w:eastAsia="zh-CN"/>
        </w:rPr>
      </w:pPr>
    </w:p>
    <w:p w14:paraId="6BB8E312">
      <w:pPr>
        <w:keepNext w:val="0"/>
        <w:keepLines w:val="0"/>
        <w:pageBreakBefore w:val="0"/>
        <w:widowControl w:val="0"/>
        <w:shd w:val="clear" w:color="auto" w:fill="auto"/>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各开发区（园区）管委会，各苏木镇人民政府，各街道办事处，旗政府各部门，各直属单位，各企事业单位</w:t>
      </w:r>
      <w:r>
        <w:rPr>
          <w:rFonts w:hint="eastAsia" w:ascii="仿宋_GB2312" w:hAnsi="仿宋_GB2312" w:eastAsia="仿宋_GB2312" w:cs="仿宋_GB2312"/>
          <w:sz w:val="32"/>
          <w:szCs w:val="32"/>
          <w:lang w:val="en-US" w:eastAsia="zh-CN"/>
        </w:rPr>
        <w:t>：</w:t>
      </w:r>
    </w:p>
    <w:p w14:paraId="5F884353">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仿宋_GB2312" w:eastAsia="仿宋_GB2312"/>
          <w:sz w:val="32"/>
          <w:highlight w:val="none"/>
          <w:lang w:val="en-US" w:eastAsia="zh-CN"/>
        </w:rPr>
        <w:t>《</w:t>
      </w:r>
      <w:r>
        <w:rPr>
          <w:rFonts w:hint="default" w:ascii="Times New Roman" w:hAnsi="Times New Roman" w:eastAsia="仿宋_GB2312" w:cs="Times New Roman"/>
          <w:sz w:val="32"/>
          <w:szCs w:val="32"/>
          <w:lang w:val="en-US" w:eastAsia="zh-CN"/>
        </w:rPr>
        <w:t>达拉特旗隐形冠军加速部落运营管理办法</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修订版</w:t>
      </w:r>
      <w:r>
        <w:rPr>
          <w:rFonts w:hint="eastAsia" w:ascii="Times New Roman" w:hAnsi="Times New Roman" w:eastAsia="仿宋_GB2312" w:cs="Times New Roman"/>
          <w:sz w:val="32"/>
          <w:szCs w:val="32"/>
          <w:lang w:val="en-US" w:eastAsia="zh-CN"/>
        </w:rPr>
        <w:t>）》已经旗人民政府2025年第11次政府常务会议审议通过，现印发给你们，请认真组织实施。</w:t>
      </w:r>
    </w:p>
    <w:p w14:paraId="7EA6CF6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lang w:eastAsia="zh-CN"/>
        </w:rPr>
      </w:pPr>
    </w:p>
    <w:p w14:paraId="262CC333">
      <w:pPr>
        <w:keepNext w:val="0"/>
        <w:keepLines w:val="0"/>
        <w:pageBreakBefore w:val="0"/>
        <w:widowControl w:val="0"/>
        <w:kinsoku/>
        <w:wordWrap/>
        <w:overflowPunct/>
        <w:topLinePunct w:val="0"/>
        <w:autoSpaceDE/>
        <w:autoSpaceDN/>
        <w:bidi w:val="0"/>
        <w:adjustRightInd/>
        <w:snapToGrid/>
        <w:spacing w:line="360" w:lineRule="exact"/>
        <w:ind w:left="0" w:leftChars="0" w:firstLine="5120" w:firstLineChars="1600"/>
        <w:textAlignment w:val="auto"/>
        <w:rPr>
          <w:rFonts w:hint="eastAsia" w:ascii="仿宋_GB2312" w:eastAsia="仿宋_GB2312"/>
          <w:sz w:val="32"/>
        </w:rPr>
      </w:pPr>
      <w:r>
        <w:rPr>
          <w:rFonts w:hint="eastAsia" w:ascii="仿宋_GB2312" w:eastAsia="仿宋_GB2312"/>
          <w:sz w:val="32"/>
          <w:lang w:eastAsia="zh-CN"/>
        </w:rPr>
        <w:t>达拉特旗</w:t>
      </w:r>
      <w:r>
        <w:rPr>
          <w:rFonts w:hint="eastAsia" w:ascii="仿宋_GB2312" w:eastAsia="仿宋_GB2312"/>
          <w:sz w:val="32"/>
        </w:rPr>
        <w:t>人民政府</w:t>
      </w:r>
    </w:p>
    <w:p w14:paraId="19E7A2C1">
      <w:pPr>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150"/>
        <w:textAlignment w:val="auto"/>
        <w:rPr>
          <w:rFonts w:hint="eastAsia" w:ascii="仿宋_GB2312" w:eastAsia="仿宋_GB2312"/>
          <w:sz w:val="32"/>
        </w:rPr>
      </w:pPr>
      <w:r>
        <w:rPr>
          <w:rFonts w:hint="eastAsia" w:ascii="仿宋_GB2312" w:eastAsia="仿宋_GB2312"/>
          <w:sz w:val="32"/>
        </w:rPr>
        <w:t xml:space="preserve">        </w:t>
      </w:r>
      <w:r>
        <w:rPr>
          <w:rFonts w:hint="eastAsia" w:ascii="仿宋_GB2312" w:eastAsia="仿宋_GB2312"/>
          <w:sz w:val="32"/>
          <w:lang w:val="en-US" w:eastAsia="zh-CN"/>
        </w:rPr>
        <w:t xml:space="preserve">                      </w:t>
      </w:r>
      <w:r>
        <w:rPr>
          <w:rFonts w:hint="default" w:ascii="Times New Roman" w:hAnsi="Times New Roman" w:eastAsia="仿宋_GB2312" w:cs="Times New Roman"/>
          <w:sz w:val="32"/>
        </w:rPr>
        <w:t>20</w:t>
      </w:r>
      <w:r>
        <w:rPr>
          <w:rFonts w:hint="eastAsia" w:ascii="Times New Roman" w:hAnsi="Times New Roman" w:eastAsia="仿宋_GB2312" w:cs="Times New Roman"/>
          <w:sz w:val="32"/>
          <w:lang w:val="en-US" w:eastAsia="zh-CN"/>
        </w:rPr>
        <w:t>25</w:t>
      </w:r>
      <w:r>
        <w:rPr>
          <w:rFonts w:hint="default" w:ascii="Times New Roman" w:hAnsi="Times New Roman" w:eastAsia="仿宋_GB2312" w:cs="Times New Roman"/>
          <w:sz w:val="32"/>
        </w:rPr>
        <w:t>年</w:t>
      </w:r>
      <w:r>
        <w:rPr>
          <w:rFonts w:hint="eastAsia" w:ascii="Times New Roman" w:hAnsi="Times New Roman" w:eastAsia="仿宋_GB2312" w:cs="Times New Roman"/>
          <w:sz w:val="32"/>
          <w:lang w:val="en-US" w:eastAsia="zh-CN"/>
        </w:rPr>
        <w:t>8</w:t>
      </w:r>
      <w:r>
        <w:rPr>
          <w:rFonts w:hint="default" w:ascii="Times New Roman" w:hAnsi="Times New Roman" w:eastAsia="仿宋_GB2312" w:cs="Times New Roman"/>
          <w:sz w:val="32"/>
        </w:rPr>
        <w:t>月</w:t>
      </w:r>
      <w:r>
        <w:rPr>
          <w:rFonts w:hint="eastAsia" w:ascii="Times New Roman" w:hAnsi="Times New Roman" w:eastAsia="仿宋_GB2312" w:cs="Times New Roman"/>
          <w:sz w:val="32"/>
          <w:lang w:val="en-US" w:eastAsia="zh-CN"/>
        </w:rPr>
        <w:t>11</w:t>
      </w:r>
      <w:r>
        <w:rPr>
          <w:rFonts w:hint="eastAsia" w:ascii="仿宋_GB2312" w:eastAsia="仿宋_GB2312"/>
          <w:sz w:val="32"/>
        </w:rPr>
        <w:t>日</w:t>
      </w:r>
    </w:p>
    <w:p w14:paraId="17E5607B">
      <w:pPr>
        <w:keepNext w:val="0"/>
        <w:keepLines w:val="0"/>
        <w:pageBreakBefore w:val="0"/>
        <w:widowControl w:val="0"/>
        <w:kinsoku/>
        <w:wordWrap/>
        <w:overflowPunct/>
        <w:topLinePunct/>
        <w:autoSpaceDE w:val="0"/>
        <w:autoSpaceDN/>
        <w:bidi w:val="0"/>
        <w:adjustRightInd/>
        <w:spacing w:line="578" w:lineRule="exact"/>
        <w:jc w:val="center"/>
        <w:textAlignment w:val="auto"/>
        <w:rPr>
          <w:rFonts w:hint="eastAsia" w:ascii="方正小标宋简体" w:hAnsi="方正小标宋简体" w:eastAsia="方正小标宋简体" w:cs="方正小标宋简体"/>
          <w:color w:val="auto"/>
          <w:sz w:val="44"/>
          <w:szCs w:val="44"/>
        </w:rPr>
        <w:sectPr>
          <w:footerReference r:id="rId3" w:type="default"/>
          <w:footerReference r:id="rId4" w:type="even"/>
          <w:pgSz w:w="11906" w:h="16838"/>
          <w:pgMar w:top="2098" w:right="1474" w:bottom="1984" w:left="1587" w:header="851" w:footer="992" w:gutter="0"/>
          <w:pgNumType w:fmt="numberInDash" w:start="18"/>
          <w:cols w:space="720" w:num="1"/>
          <w:docGrid w:type="lines" w:linePitch="312" w:charSpace="0"/>
        </w:sectPr>
      </w:pPr>
    </w:p>
    <w:p w14:paraId="24B635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sz w:val="44"/>
          <w:szCs w:val="44"/>
          <w:highlight w:val="none"/>
        </w:rPr>
      </w:pPr>
      <w:r>
        <w:rPr>
          <w:rFonts w:hint="eastAsia" w:ascii="方正小标宋简体" w:hAnsi="方正小标宋简体" w:eastAsia="方正小标宋简体" w:cs="方正小标宋简体"/>
          <w:b w:val="0"/>
          <w:bCs w:val="0"/>
          <w:color w:val="000000"/>
          <w:sz w:val="44"/>
          <w:szCs w:val="44"/>
          <w:highlight w:val="none"/>
        </w:rPr>
        <w:t>达拉特旗隐形冠军加速部落</w:t>
      </w:r>
    </w:p>
    <w:p w14:paraId="14C615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sz w:val="44"/>
          <w:szCs w:val="44"/>
          <w:highlight w:val="none"/>
        </w:rPr>
      </w:pPr>
      <w:r>
        <w:rPr>
          <w:rFonts w:hint="eastAsia" w:ascii="方正小标宋简体" w:hAnsi="方正小标宋简体" w:eastAsia="方正小标宋简体" w:cs="方正小标宋简体"/>
          <w:b w:val="0"/>
          <w:bCs w:val="0"/>
          <w:color w:val="000000"/>
          <w:sz w:val="44"/>
          <w:szCs w:val="44"/>
          <w:highlight w:val="none"/>
          <w:lang w:eastAsia="zh-CN"/>
        </w:rPr>
        <w:t>运营</w:t>
      </w:r>
      <w:r>
        <w:rPr>
          <w:rFonts w:hint="eastAsia" w:ascii="方正小标宋简体" w:hAnsi="方正小标宋简体" w:eastAsia="方正小标宋简体" w:cs="方正小标宋简体"/>
          <w:b w:val="0"/>
          <w:bCs w:val="0"/>
          <w:color w:val="000000"/>
          <w:sz w:val="44"/>
          <w:szCs w:val="44"/>
          <w:highlight w:val="none"/>
        </w:rPr>
        <w:t>管理办法</w:t>
      </w:r>
      <w:r>
        <w:rPr>
          <w:rFonts w:hint="eastAsia" w:ascii="方正小标宋简体" w:hAnsi="方正小标宋简体" w:eastAsia="方正小标宋简体" w:cs="方正小标宋简体"/>
          <w:b w:val="0"/>
          <w:bCs w:val="0"/>
          <w:color w:val="000000"/>
          <w:sz w:val="44"/>
          <w:szCs w:val="44"/>
          <w:highlight w:val="none"/>
          <w:lang w:eastAsia="zh-CN"/>
        </w:rPr>
        <w:t>（修订版）</w:t>
      </w:r>
    </w:p>
    <w:p w14:paraId="067B543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color w:val="000000"/>
          <w:sz w:val="32"/>
          <w:szCs w:val="32"/>
          <w:highlight w:val="none"/>
        </w:rPr>
      </w:pPr>
    </w:p>
    <w:p w14:paraId="1CD21F1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32"/>
          <w:szCs w:val="32"/>
          <w:highlight w:val="none"/>
        </w:rPr>
      </w:pPr>
      <w:r>
        <w:rPr>
          <w:rFonts w:hint="eastAsia" w:ascii="黑体" w:hAnsi="黑体" w:eastAsia="黑体" w:cs="黑体"/>
          <w:b w:val="0"/>
          <w:bCs w:val="0"/>
          <w:color w:val="000000"/>
          <w:sz w:val="32"/>
          <w:szCs w:val="32"/>
          <w:highlight w:val="none"/>
        </w:rPr>
        <w:t xml:space="preserve">第一章 </w:t>
      </w:r>
      <w:r>
        <w:rPr>
          <w:rFonts w:hint="eastAsia" w:ascii="黑体" w:hAnsi="黑体" w:eastAsia="黑体" w:cs="黑体"/>
          <w:b w:val="0"/>
          <w:bCs w:val="0"/>
          <w:color w:val="000000"/>
          <w:sz w:val="32"/>
          <w:szCs w:val="32"/>
          <w:highlight w:val="none"/>
          <w:lang w:val="en-US" w:eastAsia="zh-CN"/>
        </w:rPr>
        <w:t xml:space="preserve"> </w:t>
      </w:r>
      <w:r>
        <w:rPr>
          <w:rFonts w:hint="eastAsia" w:ascii="黑体" w:hAnsi="黑体" w:eastAsia="黑体" w:cs="黑体"/>
          <w:b w:val="0"/>
          <w:bCs w:val="0"/>
          <w:color w:val="000000"/>
          <w:sz w:val="32"/>
          <w:szCs w:val="32"/>
          <w:highlight w:val="none"/>
        </w:rPr>
        <w:t>总 则</w:t>
      </w:r>
    </w:p>
    <w:p w14:paraId="2806C0EF">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第一条</w:t>
      </w:r>
      <w:r>
        <w:rPr>
          <w:rFonts w:hint="eastAsia" w:ascii="仿宋_GB2312" w:hAnsi="仿宋_GB2312" w:eastAsia="仿宋_GB2312" w:cs="仿宋_GB2312"/>
          <w:color w:val="000000"/>
          <w:sz w:val="32"/>
          <w:szCs w:val="32"/>
          <w:highlight w:val="none"/>
        </w:rPr>
        <w:t xml:space="preserve">  为深入贯彻党中央、国务院关于扶持中小微企业发展的决策部署，以铸牢中华民族共同体意识为工作主线，推进中小微企业主动适应和引领发展新常态，引导中小微企业向专业化、精细化、特色化、新颖化的方向发展，培育更多制造业“单项冠军”，全力将达拉特旗隐形冠军加速部落(以下简称“加速部落”)打造成为区域培育“专精特新”企业的综合服务最优平台，助力中小企业从“专精特新”走向“隐形冠军”。根据《科技部关于印发</w:t>
      </w:r>
      <w:r>
        <w:rPr>
          <w:rFonts w:hint="eastAsia" w:ascii="仿宋_GB2312" w:hAnsi="仿宋_GB2312" w:eastAsia="仿宋_GB2312" w:cs="仿宋_GB2312"/>
          <w:color w:val="000000"/>
          <w:sz w:val="32"/>
          <w:szCs w:val="32"/>
          <w:highlight w:val="none"/>
          <w:lang w:val="en-US" w:eastAsia="zh-CN"/>
        </w:rPr>
        <w:t>&lt;</w:t>
      </w:r>
      <w:r>
        <w:rPr>
          <w:rFonts w:hint="eastAsia" w:ascii="仿宋_GB2312" w:hAnsi="仿宋_GB2312" w:eastAsia="仿宋_GB2312" w:cs="仿宋_GB2312"/>
          <w:color w:val="000000"/>
          <w:sz w:val="32"/>
          <w:szCs w:val="32"/>
          <w:highlight w:val="none"/>
        </w:rPr>
        <w:t>科技企业孵化器管理办法&gt;的通知》(国科发〔2018〕300号)《科技部火炬中心关于印发〈国家众创空间备案暂行规定〉的通知》(国科火字〔2017〕120号)精神，结合实际，制定本办法。</w:t>
      </w:r>
    </w:p>
    <w:p w14:paraId="125F4F42">
      <w:pPr>
        <w:keepNext w:val="0"/>
        <w:keepLines w:val="0"/>
        <w:pageBreakBefore w:val="0"/>
        <w:widowControl w:val="0"/>
        <w:tabs>
          <w:tab w:val="left" w:pos="6720"/>
        </w:tabs>
        <w:kinsoku/>
        <w:wordWrap/>
        <w:overflowPunct/>
        <w:topLinePunct w:val="0"/>
        <w:autoSpaceDE/>
        <w:autoSpaceDN/>
        <w:bidi w:val="0"/>
        <w:adjustRightInd/>
        <w:snapToGrid/>
        <w:spacing w:line="520" w:lineRule="exact"/>
        <w:ind w:left="0" w:leftChars="0" w:firstLine="643"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第二条</w:t>
      </w:r>
      <w:r>
        <w:rPr>
          <w:rFonts w:hint="eastAsia" w:ascii="仿宋_GB2312" w:hAnsi="仿宋_GB2312" w:eastAsia="仿宋_GB2312" w:cs="仿宋_GB2312"/>
          <w:color w:val="000000"/>
          <w:sz w:val="32"/>
          <w:szCs w:val="32"/>
          <w:highlight w:val="none"/>
        </w:rPr>
        <w:t xml:space="preserve">  本办法所称达拉特旗隐形冠军加速部落（以下简称 “加速部落”），是指为培育 “专精特新” 企业、推动科技成果转化提供综合服务的创新创业平台。其主要功能为：全面落实达拉特旗“人才新政</w:t>
      </w:r>
      <w:r>
        <w:rPr>
          <w:rFonts w:hint="default" w:ascii="Times New Roman" w:hAnsi="Times New Roman" w:eastAsia="仿宋_GB2312" w:cs="Times New Roman"/>
          <w:color w:val="000000"/>
          <w:sz w:val="32"/>
          <w:szCs w:val="32"/>
          <w:highlight w:val="none"/>
        </w:rPr>
        <w:t>20</w:t>
      </w:r>
      <w:r>
        <w:rPr>
          <w:rFonts w:hint="eastAsia" w:ascii="仿宋_GB2312" w:hAnsi="仿宋_GB2312" w:eastAsia="仿宋_GB2312" w:cs="仿宋_GB2312"/>
          <w:color w:val="000000"/>
          <w:sz w:val="32"/>
          <w:szCs w:val="32"/>
          <w:highlight w:val="none"/>
        </w:rPr>
        <w:t>条”,以集聚创新要素，招引科技创新团队及高层次人才，转化科技成果，培育科技型企业、高新技术企业及 “专精特新” 中小企业，提供创新创业空间、共享设施、政策咨询、资源对接等服务。加速部落实行“旗委领导、政府主导、部门主管、企业保障”的管理运营模式：</w:t>
      </w:r>
    </w:p>
    <w:p w14:paraId="0889592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lang w:val="en-US" w:eastAsia="zh-CN"/>
        </w:rPr>
        <w:t>主管部门负责统筹协调、服务管理、培育服务及运营评估等工作；</w:t>
      </w:r>
    </w:p>
    <w:p w14:paraId="5F5FB159">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lang w:val="en-US" w:eastAsia="zh-CN"/>
        </w:rPr>
        <w:t>旗经济开发区、旗发改委、旗财政局、旗市场监督管理局、旗人力资源和社会保障局、旗政务服务与数据管理局、旗商务和投资促进中心、旗科技发展服务中心等部门按职责配合开展工作；</w:t>
      </w:r>
    </w:p>
    <w:p w14:paraId="1BCBEF66">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（三）运营资金通过财政预算 “科技专项（专精特新）资金” 保障，主管部门每年评估运营投入后，向旗财政申请专项奖补资金支持，预算</w:t>
      </w:r>
      <w:r>
        <w:rPr>
          <w:rFonts w:hint="default" w:ascii="Times New Roman" w:hAnsi="Times New Roman" w:eastAsia="仿宋_GB2312" w:cs="Times New Roman"/>
          <w:sz w:val="32"/>
          <w:szCs w:val="32"/>
          <w:highlight w:val="none"/>
          <w:lang w:eastAsia="zh-CN"/>
        </w:rPr>
        <w:t>700</w:t>
      </w:r>
      <w:r>
        <w:rPr>
          <w:rFonts w:hint="eastAsia" w:ascii="仿宋_GB2312" w:hAnsi="仿宋_GB2312" w:eastAsia="仿宋_GB2312" w:cs="仿宋_GB2312"/>
          <w:sz w:val="32"/>
          <w:szCs w:val="32"/>
          <w:highlight w:val="none"/>
          <w:lang w:eastAsia="zh-CN"/>
        </w:rPr>
        <w:t>万元。</w:t>
      </w:r>
    </w:p>
    <w:p w14:paraId="02271F0A">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第三条</w:t>
      </w:r>
      <w:r>
        <w:rPr>
          <w:rFonts w:hint="eastAsia" w:ascii="仿宋_GB2312" w:hAnsi="仿宋_GB2312" w:eastAsia="仿宋_GB2312" w:cs="仿宋_GB2312"/>
          <w:color w:val="000000"/>
          <w:sz w:val="32"/>
          <w:szCs w:val="32"/>
          <w:highlight w:val="none"/>
        </w:rPr>
        <w:t xml:space="preserve">  本办法仅适用于与加速部落运营方签订入驻协议，并办理入驻手续后正式进入加速部落场地内的各类企业、机构。</w:t>
      </w:r>
    </w:p>
    <w:p w14:paraId="02FA9945">
      <w:pPr>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rPr>
          <w:rFonts w:hint="eastAsia" w:ascii="仿宋_GB2312" w:hAnsi="仿宋_GB2312" w:eastAsia="仿宋_GB2312" w:cs="仿宋_GB2312"/>
          <w:color w:val="000000"/>
          <w:sz w:val="32"/>
          <w:szCs w:val="32"/>
          <w:highlight w:val="none"/>
        </w:rPr>
      </w:pPr>
      <w:r>
        <w:rPr>
          <w:rFonts w:hint="eastAsia" w:ascii="黑体" w:hAnsi="黑体" w:eastAsia="黑体" w:cs="黑体"/>
          <w:b w:val="0"/>
          <w:bCs w:val="0"/>
          <w:color w:val="000000"/>
          <w:sz w:val="32"/>
          <w:szCs w:val="32"/>
          <w:highlight w:val="none"/>
        </w:rPr>
        <w:t>第二章  入驻条件</w:t>
      </w:r>
      <w:r>
        <w:rPr>
          <w:rFonts w:hint="eastAsia" w:ascii="黑体" w:hAnsi="黑体" w:eastAsia="黑体" w:cs="黑体"/>
          <w:b w:val="0"/>
          <w:bCs w:val="0"/>
          <w:color w:val="000000"/>
          <w:sz w:val="32"/>
          <w:szCs w:val="32"/>
          <w:highlight w:val="none"/>
          <w:lang w:val="en-US" w:eastAsia="zh-CN"/>
        </w:rPr>
        <w:t>与</w:t>
      </w:r>
      <w:r>
        <w:rPr>
          <w:rFonts w:hint="eastAsia" w:ascii="黑体" w:hAnsi="黑体" w:eastAsia="黑体" w:cs="黑体"/>
          <w:b w:val="0"/>
          <w:bCs w:val="0"/>
          <w:color w:val="000000"/>
          <w:sz w:val="32"/>
          <w:szCs w:val="32"/>
          <w:highlight w:val="none"/>
        </w:rPr>
        <w:t>程序</w:t>
      </w:r>
    </w:p>
    <w:p w14:paraId="64415920">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第四条</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rPr>
        <w:t>入驻条件</w:t>
      </w:r>
    </w:p>
    <w:p w14:paraId="6C93D631">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（一）入驻对象应</w:t>
      </w:r>
      <w:r>
        <w:rPr>
          <w:rFonts w:hint="eastAsia" w:ascii="仿宋_GB2312" w:hAnsi="仿宋_GB2312" w:eastAsia="仿宋_GB2312" w:cs="仿宋_GB2312"/>
          <w:color w:val="000000"/>
          <w:sz w:val="32"/>
          <w:szCs w:val="32"/>
          <w:highlight w:val="none"/>
          <w:lang w:val="en-US" w:eastAsia="zh-CN"/>
        </w:rPr>
        <w:t>满足的基本</w:t>
      </w:r>
      <w:r>
        <w:rPr>
          <w:rFonts w:hint="eastAsia" w:ascii="仿宋_GB2312" w:hAnsi="仿宋_GB2312" w:eastAsia="仿宋_GB2312" w:cs="仿宋_GB2312"/>
          <w:color w:val="000000"/>
          <w:sz w:val="32"/>
          <w:szCs w:val="32"/>
          <w:highlight w:val="none"/>
        </w:rPr>
        <w:t>条件</w:t>
      </w:r>
    </w:p>
    <w:p w14:paraId="6F36CD56">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1.</w:t>
      </w:r>
      <w:r>
        <w:rPr>
          <w:rFonts w:hint="eastAsia" w:ascii="Times New Roman" w:hAnsi="Times New Roman" w:eastAsia="仿宋_GB2312" w:cs="Times New Roman"/>
          <w:color w:val="000000"/>
          <w:sz w:val="32"/>
          <w:szCs w:val="32"/>
          <w:highlight w:val="none"/>
        </w:rPr>
        <w:t>2022 年1月1日起，旗内新招商引资的重点企业或重点项目，已与旗人民政府签订战略投资协议，完成属地注册且项目已开工；</w:t>
      </w:r>
    </w:p>
    <w:p w14:paraId="3B3E2234">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属于新能源装备制造、化工新材料、精细化工、废物综合利用、生物医药等重点产业，或量子信息、机器人、元宇宙等未来战略性新兴产业；</w:t>
      </w:r>
    </w:p>
    <w:p w14:paraId="1840F352">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符合《中小企业划型标准规定》（工信部联企业〔2011〕300号）的中小企业和招商引资企业；</w:t>
      </w:r>
    </w:p>
    <w:p w14:paraId="41901027">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4.铸牢中华民族共同体意识。</w:t>
      </w:r>
    </w:p>
    <w:p w14:paraId="13DABDDD">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（二）入驻对象</w:t>
      </w:r>
      <w:r>
        <w:rPr>
          <w:rFonts w:hint="eastAsia" w:ascii="仿宋_GB2312" w:hAnsi="仿宋_GB2312" w:eastAsia="仿宋_GB2312" w:cs="仿宋_GB2312"/>
          <w:color w:val="000000"/>
          <w:sz w:val="32"/>
          <w:szCs w:val="32"/>
          <w:highlight w:val="none"/>
          <w:lang w:val="en-US" w:eastAsia="zh-CN"/>
        </w:rPr>
        <w:t>在满足基本条件的基础上</w:t>
      </w:r>
      <w:r>
        <w:rPr>
          <w:rFonts w:hint="eastAsia" w:ascii="仿宋_GB2312" w:hAnsi="仿宋_GB2312" w:eastAsia="仿宋_GB2312" w:cs="仿宋_GB2312"/>
          <w:color w:val="000000"/>
          <w:sz w:val="32"/>
          <w:szCs w:val="32"/>
          <w:highlight w:val="none"/>
        </w:rPr>
        <w:t>符合下列条件</w:t>
      </w:r>
      <w:r>
        <w:rPr>
          <w:rFonts w:hint="eastAsia" w:ascii="仿宋_GB2312" w:hAnsi="仿宋_GB2312" w:eastAsia="仿宋_GB2312" w:cs="仿宋_GB2312"/>
          <w:color w:val="000000"/>
          <w:sz w:val="32"/>
          <w:szCs w:val="32"/>
          <w:highlight w:val="none"/>
          <w:lang w:val="en-US" w:eastAsia="zh-CN"/>
        </w:rPr>
        <w:t>之一即可入驻</w:t>
      </w:r>
    </w:p>
    <w:p w14:paraId="5F357656">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在旗内设立市级以上科研机构或承担国家、自治区、市级重大科研专项的团队或企业；</w:t>
      </w:r>
    </w:p>
    <w:p w14:paraId="44F6B309">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2.获自治区级以上制造业单项冠军、专精特新 “小巨人”、隐形冠军等称号的企业；</w:t>
      </w:r>
    </w:p>
    <w:p w14:paraId="2B244D22">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3.投产满</w:t>
      </w:r>
      <w:r>
        <w:rPr>
          <w:rFonts w:hint="default" w:ascii="Times New Roman" w:hAnsi="Times New Roman" w:eastAsia="仿宋_GB2312" w:cs="Times New Roman"/>
          <w:color w:val="000000"/>
          <w:sz w:val="32"/>
          <w:szCs w:val="32"/>
          <w:highlight w:val="none"/>
          <w:lang w:val="en-US" w:eastAsia="zh-CN"/>
        </w:rPr>
        <w:t>2</w:t>
      </w:r>
      <w:r>
        <w:rPr>
          <w:rFonts w:hint="eastAsia" w:ascii="仿宋_GB2312" w:hAnsi="仿宋_GB2312" w:eastAsia="仿宋_GB2312" w:cs="仿宋_GB2312"/>
          <w:color w:val="000000"/>
          <w:sz w:val="32"/>
          <w:szCs w:val="32"/>
          <w:highlight w:val="none"/>
          <w:lang w:val="en-US" w:eastAsia="zh-CN"/>
        </w:rPr>
        <w:t>年，在产业链延链补链、配套园区发展中具有重大意义且有税收潜力的企业。</w:t>
      </w:r>
    </w:p>
    <w:p w14:paraId="124A458D">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（三）入驻对象在满足基本条件的基础上属于院士或入选国家重点人才计划的高层次人才带项目入驻的，享受 “绿色通道”。</w:t>
      </w:r>
    </w:p>
    <w:p w14:paraId="2955B555">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（四）已与旗人民政府签订战略投资协议，但尚未在本地注册开工的企业，可申请暂住加速部落，暂住期限不超过</w:t>
      </w:r>
      <w:r>
        <w:rPr>
          <w:rFonts w:hint="default" w:ascii="Times New Roman" w:hAnsi="Times New Roman" w:eastAsia="仿宋_GB2312" w:cs="Times New Roman"/>
          <w:color w:val="000000"/>
          <w:sz w:val="32"/>
          <w:szCs w:val="32"/>
          <w:highlight w:val="none"/>
        </w:rPr>
        <w:t>6</w:t>
      </w:r>
      <w:r>
        <w:rPr>
          <w:rFonts w:hint="eastAsia" w:ascii="仿宋_GB2312" w:hAnsi="仿宋_GB2312" w:eastAsia="仿宋_GB2312" w:cs="仿宋_GB2312"/>
          <w:color w:val="000000"/>
          <w:sz w:val="32"/>
          <w:szCs w:val="32"/>
          <w:highlight w:val="none"/>
        </w:rPr>
        <w:t>个月；待项目注册开工后按本条第（一）（二）款规定申请办理正式入驻手续。</w:t>
      </w:r>
    </w:p>
    <w:p w14:paraId="0ED71D89">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第五条</w:t>
      </w:r>
      <w:r>
        <w:rPr>
          <w:rFonts w:hint="eastAsia" w:ascii="仿宋_GB2312" w:hAnsi="仿宋_GB2312" w:eastAsia="仿宋_GB2312" w:cs="仿宋_GB2312"/>
          <w:color w:val="000000"/>
          <w:sz w:val="32"/>
          <w:szCs w:val="32"/>
          <w:highlight w:val="none"/>
        </w:rPr>
        <w:t xml:space="preserve"> </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入驻对象存在下列情形的，不享受优惠政策，相关费用自行承担：</w:t>
      </w:r>
    </w:p>
    <w:p w14:paraId="2E23ED21">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（一）无正当理由未在规定期限内完成属地注册的；</w:t>
      </w:r>
    </w:p>
    <w:p w14:paraId="714F2563">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（二）无正当理由未按约定开工项目的。</w:t>
      </w:r>
    </w:p>
    <w:p w14:paraId="008979B7">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第六条</w:t>
      </w:r>
      <w:r>
        <w:rPr>
          <w:rFonts w:hint="eastAsia" w:ascii="仿宋_GB2312" w:hAnsi="仿宋_GB2312" w:eastAsia="仿宋_GB2312" w:cs="仿宋_GB2312"/>
          <w:color w:val="000000"/>
          <w:sz w:val="32"/>
          <w:szCs w:val="32"/>
          <w:highlight w:val="none"/>
        </w:rPr>
        <w:t xml:space="preserve"> </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入驻程序：</w:t>
      </w:r>
    </w:p>
    <w:p w14:paraId="4921EDC5">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（一）申请。入驻对象向主管部门提交书面申请，填写《达拉特旗隐形冠军加速部落入驻申请表》，并附营业执照、法定代表人身份证明、投资协议、项目可行性报告等材料；</w:t>
      </w:r>
    </w:p>
    <w:p w14:paraId="7F43821E">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（二）审核。主管部门审核材料，对符合条件的予以推荐入驻；</w:t>
      </w:r>
    </w:p>
    <w:p w14:paraId="4AC64A3A">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color w:val="000000"/>
          <w:sz w:val="32"/>
          <w:szCs w:val="32"/>
          <w:highlight w:val="none"/>
        </w:rPr>
        <w:t>（三）签约入驻。入驻对象签订《达拉特旗隐形冠军加速部落入驻协议》《安全生产责任书》。入驻期限原则上不超过</w:t>
      </w:r>
      <w:r>
        <w:rPr>
          <w:rFonts w:hint="default" w:ascii="Times New Roman" w:hAnsi="Times New Roman" w:eastAsia="仿宋_GB2312" w:cs="Times New Roman"/>
          <w:color w:val="000000"/>
          <w:sz w:val="32"/>
          <w:szCs w:val="32"/>
          <w:highlight w:val="none"/>
        </w:rPr>
        <w:t>3</w:t>
      </w:r>
      <w:r>
        <w:rPr>
          <w:rFonts w:hint="eastAsia" w:ascii="仿宋_GB2312" w:hAnsi="仿宋_GB2312" w:eastAsia="仿宋_GB2312" w:cs="仿宋_GB2312"/>
          <w:color w:val="000000"/>
          <w:sz w:val="32"/>
          <w:szCs w:val="32"/>
          <w:highlight w:val="none"/>
        </w:rPr>
        <w:t>年；对旗产业发展有特殊贡献的，经主管部门报请旗人民政府研究，可 “一事一议” 延长入驻期限。</w:t>
      </w:r>
    </w:p>
    <w:p w14:paraId="4AE3F7A4">
      <w:pPr>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rPr>
          <w:rFonts w:hint="eastAsia" w:ascii="仿宋_GB2312" w:hAnsi="仿宋_GB2312" w:eastAsia="仿宋_GB2312" w:cs="仿宋_GB2312"/>
          <w:color w:val="000000"/>
          <w:sz w:val="32"/>
          <w:szCs w:val="32"/>
          <w:highlight w:val="none"/>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val="en-US" w:eastAsia="zh-CN"/>
        </w:rPr>
        <w:t>三</w:t>
      </w:r>
      <w:r>
        <w:rPr>
          <w:rFonts w:hint="eastAsia" w:ascii="黑体" w:hAnsi="黑体" w:eastAsia="黑体" w:cs="黑体"/>
          <w:b w:val="0"/>
          <w:bCs w:val="0"/>
          <w:color w:val="000000"/>
          <w:sz w:val="32"/>
          <w:szCs w:val="32"/>
          <w:highlight w:val="none"/>
        </w:rPr>
        <w:t xml:space="preserve">章  </w:t>
      </w:r>
      <w:r>
        <w:rPr>
          <w:rFonts w:hint="eastAsia" w:ascii="黑体" w:hAnsi="黑体" w:eastAsia="黑体" w:cs="黑体"/>
          <w:b w:val="0"/>
          <w:bCs w:val="0"/>
          <w:color w:val="000000"/>
          <w:sz w:val="32"/>
          <w:szCs w:val="32"/>
          <w:highlight w:val="none"/>
          <w:lang w:val="en-US" w:eastAsia="zh-CN"/>
        </w:rPr>
        <w:t>服务</w:t>
      </w:r>
      <w:r>
        <w:rPr>
          <w:rFonts w:hint="eastAsia" w:ascii="黑体" w:hAnsi="黑体" w:eastAsia="黑体" w:cs="黑体"/>
          <w:b w:val="0"/>
          <w:bCs w:val="0"/>
          <w:color w:val="000000"/>
          <w:sz w:val="32"/>
          <w:szCs w:val="32"/>
          <w:highlight w:val="none"/>
        </w:rPr>
        <w:t>管理</w:t>
      </w:r>
    </w:p>
    <w:p w14:paraId="05C126A5">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第七条</w:t>
      </w:r>
      <w:r>
        <w:rPr>
          <w:rFonts w:hint="eastAsia" w:ascii="仿宋_GB2312" w:hAnsi="仿宋_GB2312" w:eastAsia="仿宋_GB2312" w:cs="仿宋_GB2312"/>
          <w:color w:val="000000"/>
          <w:sz w:val="32"/>
          <w:szCs w:val="32"/>
          <w:highlight w:val="none"/>
        </w:rPr>
        <w:t xml:space="preserve"> </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加速部落为入驻对象提供下列服务：</w:t>
      </w:r>
    </w:p>
    <w:p w14:paraId="720072EF">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（一）基础服务：提供办公场地、公共空间及水、电、暖、网等物业服务；</w:t>
      </w:r>
    </w:p>
    <w:p w14:paraId="0FDBC45F">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（二）商务服务：代办企业注册、财税、社保等事项；提供法律咨询、人才招聘等服务；</w:t>
      </w:r>
    </w:p>
    <w:p w14:paraId="31749227">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（三）培育服务：开展政策宣讲、财税及投融资培训；协助项目申报、对接培育导师；</w:t>
      </w:r>
    </w:p>
    <w:p w14:paraId="35267C4C">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（四）资源对接：组织创业活动、技术交易、产学研合作；提供知识产权、媒体宣传服务；</w:t>
      </w:r>
    </w:p>
    <w:p w14:paraId="4A68D493">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（五）投融资服务：推荐天使投资、对接银行信贷；</w:t>
      </w:r>
    </w:p>
    <w:p w14:paraId="1B0E9FAC">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（六）党群服务：指导建立党组织，搭建党群建设平台；</w:t>
      </w:r>
    </w:p>
    <w:p w14:paraId="67366965">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（七）运营服务：“专精特新”蝶变营的提升改造、运营、接待、讲解、宣传等服务；</w:t>
      </w:r>
    </w:p>
    <w:p w14:paraId="58BAD406">
      <w:pPr>
        <w:keepNext w:val="0"/>
        <w:keepLines w:val="0"/>
        <w:pageBreakBefore w:val="0"/>
        <w:widowControl w:val="0"/>
        <w:kinsoku/>
        <w:wordWrap/>
        <w:overflowPunct/>
        <w:topLinePunct w:val="0"/>
        <w:autoSpaceDE/>
        <w:autoSpaceDN/>
        <w:bidi w:val="0"/>
        <w:adjustRightInd/>
        <w:snapToGrid/>
        <w:spacing w:line="520" w:lineRule="exact"/>
        <w:ind w:left="638" w:leftChars="304" w:firstLine="0" w:firstLineChars="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（八）会务服务：为入驻对象及相关服务部门提供会务服务；</w:t>
      </w:r>
    </w:p>
    <w:p w14:paraId="0F370F1B">
      <w:pPr>
        <w:keepNext w:val="0"/>
        <w:keepLines w:val="0"/>
        <w:pageBreakBefore w:val="0"/>
        <w:widowControl w:val="0"/>
        <w:kinsoku/>
        <w:wordWrap/>
        <w:overflowPunct/>
        <w:topLinePunct w:val="0"/>
        <w:autoSpaceDE/>
        <w:autoSpaceDN/>
        <w:bidi w:val="0"/>
        <w:adjustRightInd/>
        <w:snapToGrid/>
        <w:spacing w:line="520" w:lineRule="exact"/>
        <w:ind w:left="638" w:leftChars="304" w:firstLine="0" w:firstLineChars="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（九）享受餐饮、住宿、交通等配套生活服务；</w:t>
      </w:r>
    </w:p>
    <w:p w14:paraId="02E94205">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（十）其他个性化服务。</w:t>
      </w:r>
    </w:p>
    <w:p w14:paraId="28D9F703">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第八条</w:t>
      </w:r>
      <w:r>
        <w:rPr>
          <w:rFonts w:hint="eastAsia" w:ascii="仿宋_GB2312" w:hAnsi="仿宋_GB2312" w:eastAsia="仿宋_GB2312" w:cs="仿宋_GB2312"/>
          <w:color w:val="000000"/>
          <w:sz w:val="32"/>
          <w:szCs w:val="32"/>
          <w:highlight w:val="none"/>
        </w:rPr>
        <w:t xml:space="preserve"> </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入驻对象应当遵守下列场地使用规范：</w:t>
      </w:r>
    </w:p>
    <w:p w14:paraId="294C34FF">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（一）办公工位按人均</w:t>
      </w:r>
      <w:r>
        <w:rPr>
          <w:rFonts w:hint="default" w:ascii="Times New Roman" w:hAnsi="Times New Roman" w:eastAsia="仿宋_GB2312" w:cs="Times New Roman"/>
          <w:color w:val="000000"/>
          <w:sz w:val="32"/>
          <w:szCs w:val="32"/>
          <w:highlight w:val="none"/>
        </w:rPr>
        <w:t>5</w:t>
      </w:r>
      <w:r>
        <w:rPr>
          <w:rFonts w:hint="eastAsia" w:ascii="仿宋_GB2312" w:hAnsi="仿宋_GB2312" w:eastAsia="仿宋_GB2312" w:cs="仿宋_GB2312"/>
          <w:color w:val="000000"/>
          <w:sz w:val="32"/>
          <w:szCs w:val="32"/>
          <w:highlight w:val="none"/>
        </w:rPr>
        <w:t>平方米标准配置，</w:t>
      </w:r>
      <w:r>
        <w:rPr>
          <w:rFonts w:hint="default" w:ascii="Times New Roman" w:hAnsi="Times New Roman" w:eastAsia="仿宋_GB2312" w:cs="Times New Roman"/>
          <w:color w:val="000000"/>
          <w:sz w:val="32"/>
          <w:szCs w:val="32"/>
          <w:highlight w:val="none"/>
        </w:rPr>
        <w:t>100</w:t>
      </w:r>
      <w:r>
        <w:rPr>
          <w:rFonts w:hint="eastAsia" w:ascii="仿宋_GB2312" w:hAnsi="仿宋_GB2312" w:eastAsia="仿宋_GB2312" w:cs="仿宋_GB2312"/>
          <w:color w:val="000000"/>
          <w:sz w:val="32"/>
          <w:szCs w:val="32"/>
          <w:highlight w:val="none"/>
        </w:rPr>
        <w:t>人以上企业可申请独立办公室；场地由主管部门按需求统筹安排并备案；</w:t>
      </w:r>
    </w:p>
    <w:p w14:paraId="7BEDEE62">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（二）人员变动的，应当提前</w:t>
      </w:r>
      <w:r>
        <w:rPr>
          <w:rFonts w:hint="default" w:ascii="Times New Roman" w:hAnsi="Times New Roman" w:eastAsia="仿宋_GB2312" w:cs="Times New Roman"/>
          <w:color w:val="000000"/>
          <w:sz w:val="32"/>
          <w:szCs w:val="32"/>
          <w:highlight w:val="none"/>
        </w:rPr>
        <w:t>3</w:t>
      </w:r>
      <w:r>
        <w:rPr>
          <w:rFonts w:hint="eastAsia" w:ascii="仿宋_GB2312" w:hAnsi="仿宋_GB2312" w:eastAsia="仿宋_GB2312" w:cs="仿宋_GB2312"/>
          <w:color w:val="000000"/>
          <w:sz w:val="32"/>
          <w:szCs w:val="32"/>
          <w:highlight w:val="none"/>
        </w:rPr>
        <w:t>个工作日向加速部落备案；</w:t>
      </w:r>
    </w:p>
    <w:p w14:paraId="7BEC5A44">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（三）不得出租、转借场地，不得超出经营范围开展活动；</w:t>
      </w:r>
    </w:p>
    <w:p w14:paraId="7D4FC29B">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（四）不得擅自改变场地结构、管网布局、保持环境整洁卫生；不得在场地内起居、使用明火或存放易燃易爆或有毒有害危险品，不得携带管制器具进入加速部落；</w:t>
      </w:r>
    </w:p>
    <w:p w14:paraId="75E97242">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（五）不得允许无关人员长时间逗留；擅自带入无关人员造成损失的，应当赔偿；</w:t>
      </w:r>
    </w:p>
    <w:p w14:paraId="4AC7B77C">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六）入驻对象不得在加速部落内发生矛盾、引发争议。如发生矛盾或引发争议严重干扰加速部落正常运行，违反本办法规定的，由主管部门责令整改；发生打架斗殴、损坏财物、聚众滋事等恶劣行为的，对涉事入驻对象及相关责任人直接予以清退，造成场地设施损坏的需依法照价赔偿；涉嫌违法的，移交有关部门处理。</w:t>
      </w:r>
    </w:p>
    <w:p w14:paraId="10120F67">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（七）入驻对象应在公用网络上开展正常业务，不得利用公用网络进行与经营业务无关的其他活动或违法活动；</w:t>
      </w:r>
    </w:p>
    <w:p w14:paraId="29047DBD">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（八）入驻对象应自觉维护网络正能量，不得以任何形式发布、传递不实信息或不当言论，造成严重后果者直接予以清退。</w:t>
      </w:r>
    </w:p>
    <w:p w14:paraId="7EA89A92">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w:t>
      </w:r>
      <w:r>
        <w:rPr>
          <w:rFonts w:hint="eastAsia" w:ascii="仿宋_GB2312" w:hAnsi="仿宋_GB2312" w:eastAsia="仿宋_GB2312" w:cs="仿宋_GB2312"/>
          <w:b/>
          <w:bCs/>
          <w:color w:val="000000"/>
          <w:sz w:val="32"/>
          <w:szCs w:val="32"/>
          <w:highlight w:val="none"/>
          <w:lang w:val="en-US" w:eastAsia="zh-CN"/>
        </w:rPr>
        <w:t>九</w:t>
      </w:r>
      <w:r>
        <w:rPr>
          <w:rFonts w:hint="eastAsia" w:ascii="仿宋_GB2312" w:hAnsi="仿宋_GB2312" w:eastAsia="仿宋_GB2312" w:cs="仿宋_GB2312"/>
          <w:b/>
          <w:bCs/>
          <w:color w:val="000000"/>
          <w:sz w:val="32"/>
          <w:szCs w:val="32"/>
          <w:highlight w:val="none"/>
        </w:rPr>
        <w:t>条</w:t>
      </w:r>
      <w:r>
        <w:rPr>
          <w:rFonts w:hint="eastAsia" w:ascii="仿宋_GB2312" w:hAnsi="仿宋_GB2312" w:eastAsia="仿宋_GB2312" w:cs="仿宋_GB2312"/>
          <w:color w:val="000000"/>
          <w:sz w:val="32"/>
          <w:szCs w:val="32"/>
          <w:highlight w:val="none"/>
        </w:rPr>
        <w:t xml:space="preserve">  公共场所使用规范：</w:t>
      </w:r>
    </w:p>
    <w:p w14:paraId="0D74C7CF">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（一）公共会议室、报告厅、健身中心、多功能厅、图书室等由加速部落负责统筹预约、安排和维护；</w:t>
      </w:r>
    </w:p>
    <w:p w14:paraId="1258DEB8">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（二）入驻对象使用公共场所需提前预约并签字确认。若举办</w:t>
      </w:r>
      <w:r>
        <w:rPr>
          <w:rFonts w:hint="default" w:ascii="Times New Roman" w:hAnsi="Times New Roman" w:eastAsia="仿宋_GB2312" w:cs="Times New Roman"/>
          <w:color w:val="000000"/>
          <w:sz w:val="32"/>
          <w:szCs w:val="32"/>
          <w:highlight w:val="none"/>
          <w:lang w:eastAsia="zh-CN"/>
        </w:rPr>
        <w:t>30</w:t>
      </w:r>
      <w:r>
        <w:rPr>
          <w:rFonts w:hint="eastAsia" w:ascii="仿宋_GB2312" w:hAnsi="仿宋_GB2312" w:eastAsia="仿宋_GB2312" w:cs="仿宋_GB2312"/>
          <w:color w:val="000000"/>
          <w:sz w:val="32"/>
          <w:szCs w:val="32"/>
          <w:highlight w:val="none"/>
          <w:lang w:eastAsia="zh-CN"/>
        </w:rPr>
        <w:t>人以上活动，需提前</w:t>
      </w:r>
      <w:r>
        <w:rPr>
          <w:rFonts w:hint="default" w:ascii="Times New Roman" w:hAnsi="Times New Roman" w:eastAsia="仿宋_GB2312" w:cs="Times New Roman"/>
          <w:color w:val="000000"/>
          <w:sz w:val="32"/>
          <w:szCs w:val="32"/>
          <w:highlight w:val="none"/>
          <w:lang w:eastAsia="zh-CN"/>
        </w:rPr>
        <w:t>3</w:t>
      </w:r>
      <w:r>
        <w:rPr>
          <w:rFonts w:hint="eastAsia" w:ascii="仿宋_GB2312" w:hAnsi="仿宋_GB2312" w:eastAsia="仿宋_GB2312" w:cs="仿宋_GB2312"/>
          <w:color w:val="000000"/>
          <w:sz w:val="32"/>
          <w:szCs w:val="32"/>
          <w:highlight w:val="none"/>
          <w:lang w:eastAsia="zh-CN"/>
        </w:rPr>
        <w:t>个工作日提出申请，预约成功后组织实施；</w:t>
      </w:r>
    </w:p>
    <w:p w14:paraId="51C647EA">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（三）入驻对象及其工作人员需自觉维护场地秩序，爱护公共场所设施设备，如有损坏照价赔偿</w:t>
      </w:r>
      <w:r>
        <w:rPr>
          <w:rFonts w:hint="eastAsia" w:ascii="仿宋_GB2312" w:hAnsi="仿宋_GB2312" w:eastAsia="仿宋_GB2312" w:cs="仿宋_GB2312"/>
          <w:color w:val="000000"/>
          <w:sz w:val="32"/>
          <w:szCs w:val="32"/>
          <w:highlight w:val="none"/>
        </w:rPr>
        <w:t>。</w:t>
      </w:r>
    </w:p>
    <w:p w14:paraId="24DADBB3">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w:t>
      </w:r>
      <w:r>
        <w:rPr>
          <w:rFonts w:hint="eastAsia" w:ascii="仿宋_GB2312" w:hAnsi="仿宋_GB2312" w:eastAsia="仿宋_GB2312" w:cs="仿宋_GB2312"/>
          <w:b/>
          <w:bCs/>
          <w:color w:val="000000"/>
          <w:sz w:val="32"/>
          <w:szCs w:val="32"/>
          <w:highlight w:val="none"/>
          <w:lang w:val="en-US" w:eastAsia="zh-CN"/>
        </w:rPr>
        <w:t>十</w:t>
      </w:r>
      <w:r>
        <w:rPr>
          <w:rFonts w:hint="eastAsia" w:ascii="仿宋_GB2312" w:hAnsi="仿宋_GB2312" w:eastAsia="仿宋_GB2312" w:cs="仿宋_GB2312"/>
          <w:b/>
          <w:bCs/>
          <w:color w:val="000000"/>
          <w:sz w:val="32"/>
          <w:szCs w:val="32"/>
          <w:highlight w:val="none"/>
        </w:rPr>
        <w:t>条</w:t>
      </w:r>
      <w:r>
        <w:rPr>
          <w:rFonts w:hint="eastAsia" w:ascii="仿宋_GB2312" w:hAnsi="仿宋_GB2312" w:eastAsia="仿宋_GB2312" w:cs="仿宋_GB2312"/>
          <w:color w:val="000000"/>
          <w:sz w:val="32"/>
          <w:szCs w:val="32"/>
          <w:highlight w:val="none"/>
        </w:rPr>
        <w:t xml:space="preserve">  配套服务申请对象：</w:t>
      </w:r>
    </w:p>
    <w:p w14:paraId="47EF8D5E">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（一）餐厅申请对象：办理入驻手续的在册人员；</w:t>
      </w:r>
    </w:p>
    <w:p w14:paraId="6C7BEF44">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（二）交通申请对象：办理入驻手续的在册人员；</w:t>
      </w:r>
    </w:p>
    <w:p w14:paraId="075FED57">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（三）服务申请对象：入驻对象均可申请政务、商务、事务事项等方面的服务，加速部落提供帮办代办等“管家式”服务</w:t>
      </w:r>
      <w:r>
        <w:rPr>
          <w:rFonts w:hint="eastAsia" w:ascii="仿宋_GB2312" w:hAnsi="仿宋_GB2312" w:eastAsia="仿宋_GB2312" w:cs="仿宋_GB2312"/>
          <w:color w:val="000000"/>
          <w:sz w:val="32"/>
          <w:szCs w:val="32"/>
          <w:highlight w:val="none"/>
        </w:rPr>
        <w:t>。</w:t>
      </w:r>
    </w:p>
    <w:p w14:paraId="141D8B28">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第十</w:t>
      </w:r>
      <w:r>
        <w:rPr>
          <w:rFonts w:hint="eastAsia" w:ascii="仿宋_GB2312" w:hAnsi="仿宋_GB2312" w:eastAsia="仿宋_GB2312" w:cs="仿宋_GB2312"/>
          <w:b/>
          <w:bCs/>
          <w:color w:val="000000"/>
          <w:sz w:val="32"/>
          <w:szCs w:val="32"/>
          <w:highlight w:val="none"/>
          <w:lang w:val="en-US" w:eastAsia="zh-CN"/>
        </w:rPr>
        <w:t>一</w:t>
      </w:r>
      <w:r>
        <w:rPr>
          <w:rFonts w:hint="eastAsia" w:ascii="仿宋_GB2312" w:hAnsi="仿宋_GB2312" w:eastAsia="仿宋_GB2312" w:cs="仿宋_GB2312"/>
          <w:b/>
          <w:bCs/>
          <w:color w:val="000000"/>
          <w:sz w:val="32"/>
          <w:szCs w:val="32"/>
          <w:highlight w:val="none"/>
        </w:rPr>
        <w:t>条</w:t>
      </w:r>
      <w:r>
        <w:rPr>
          <w:rFonts w:hint="eastAsia" w:ascii="仿宋_GB2312" w:hAnsi="仿宋_GB2312" w:eastAsia="仿宋_GB2312" w:cs="仿宋_GB2312"/>
          <w:color w:val="000000"/>
          <w:sz w:val="32"/>
          <w:szCs w:val="32"/>
          <w:highlight w:val="none"/>
        </w:rPr>
        <w:t xml:space="preserve">  配套服务收费标准：</w:t>
      </w:r>
    </w:p>
    <w:p w14:paraId="1DC7EE4A">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（一）餐厅收费标准：餐标按照实际产生费用收取。提供加速部落内部送餐服务，按市场价收费；</w:t>
      </w:r>
    </w:p>
    <w:p w14:paraId="30523DB8">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（二）住宿收费标准：在市场价基础上按</w:t>
      </w:r>
      <w:r>
        <w:rPr>
          <w:rFonts w:hint="eastAsia" w:ascii="Times New Roman" w:hAnsi="Times New Roman" w:eastAsia="仿宋_GB2312" w:cs="Times New Roman"/>
          <w:color w:val="000000"/>
          <w:sz w:val="32"/>
          <w:szCs w:val="32"/>
          <w:highlight w:val="none"/>
          <w:lang w:eastAsia="zh-CN"/>
        </w:rPr>
        <w:t>70%</w:t>
      </w:r>
      <w:r>
        <w:rPr>
          <w:rFonts w:hint="eastAsia" w:ascii="仿宋_GB2312" w:hAnsi="仿宋_GB2312" w:eastAsia="仿宋_GB2312" w:cs="仿宋_GB2312"/>
          <w:color w:val="000000"/>
          <w:sz w:val="32"/>
          <w:szCs w:val="32"/>
          <w:highlight w:val="none"/>
          <w:lang w:eastAsia="zh-CN"/>
        </w:rPr>
        <w:t>收取；</w:t>
      </w:r>
    </w:p>
    <w:p w14:paraId="417E77ED">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（三）交通收费标准：运营方与受委托方签订租车协议，入驻对象通过购买服务方式临时租用相关类型车辆；</w:t>
      </w:r>
    </w:p>
    <w:p w14:paraId="07B79F4B">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四）服务收费标准：政务服务、商务服务、培育辅导服务、培育导师服务、推广与对接服务、技术创新服务、投融资服务、党群服务、个性化定制服务、运营服务、会务服务免费提供，涉专业机构提供的商务服务，费用自理。公共会议室、报告厅、图书室、培训区、多功能厅、健身中心等公共场所及其配套设施设备等按物业成本价收费；</w:t>
      </w:r>
    </w:p>
    <w:p w14:paraId="34BCEE33">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（五）租金收费标准：根据同行业的收费标准以及双方协商协议确定（不包含物业费、供热供冷费、水电费等房屋使用过程中发生的费用）；</w:t>
      </w:r>
    </w:p>
    <w:p w14:paraId="1BF6FAF0">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（六）入驻对象优惠政策：</w:t>
      </w:r>
    </w:p>
    <w:p w14:paraId="693E7995">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1.入驻对象物业费全部免收；</w:t>
      </w:r>
    </w:p>
    <w:p w14:paraId="2A075E75">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2.入驻对象第一年房租全部免收；入驻第二年房租按约定价50%收取；入驻第三年房租按约定价</w:t>
      </w:r>
      <w:r>
        <w:rPr>
          <w:rFonts w:hint="eastAsia" w:ascii="Times New Roman" w:hAnsi="Times New Roman" w:eastAsia="仿宋_GB2312" w:cs="Times New Roman"/>
          <w:color w:val="000000"/>
          <w:sz w:val="32"/>
          <w:szCs w:val="32"/>
          <w:highlight w:val="none"/>
          <w:lang w:eastAsia="zh-CN"/>
        </w:rPr>
        <w:t>70%</w:t>
      </w:r>
      <w:r>
        <w:rPr>
          <w:rFonts w:hint="eastAsia" w:ascii="仿宋_GB2312" w:hAnsi="仿宋_GB2312" w:eastAsia="仿宋_GB2312" w:cs="仿宋_GB2312"/>
          <w:color w:val="000000"/>
          <w:sz w:val="32"/>
          <w:szCs w:val="32"/>
          <w:highlight w:val="none"/>
          <w:lang w:eastAsia="zh-CN"/>
        </w:rPr>
        <w:t>收取；</w:t>
      </w:r>
    </w:p>
    <w:p w14:paraId="5121AF75">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3.夏季空调制冷、冬季取暖供热给予补贴不超</w:t>
      </w:r>
      <w:r>
        <w:rPr>
          <w:rFonts w:hint="eastAsia" w:ascii="Times New Roman" w:hAnsi="Times New Roman" w:eastAsia="仿宋_GB2312" w:cs="Times New Roman"/>
          <w:color w:val="000000"/>
          <w:sz w:val="32"/>
          <w:szCs w:val="32"/>
          <w:highlight w:val="none"/>
          <w:lang w:eastAsia="zh-CN"/>
        </w:rPr>
        <w:t>15.2%</w:t>
      </w:r>
      <w:r>
        <w:rPr>
          <w:rFonts w:hint="eastAsia" w:ascii="仿宋_GB2312" w:hAnsi="仿宋_GB2312" w:eastAsia="仿宋_GB2312" w:cs="仿宋_GB2312"/>
          <w:color w:val="000000"/>
          <w:sz w:val="32"/>
          <w:szCs w:val="32"/>
          <w:highlight w:val="none"/>
          <w:lang w:eastAsia="zh-CN"/>
        </w:rPr>
        <w:t>；</w:t>
      </w:r>
    </w:p>
    <w:p w14:paraId="03E80BA3">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000000"/>
          <w:sz w:val="32"/>
          <w:szCs w:val="32"/>
          <w:highlight w:val="none"/>
          <w:lang w:eastAsia="zh-CN"/>
        </w:rPr>
        <w:t>4.入驻对象的工作接待用餐、住宿费用按市场价</w:t>
      </w:r>
      <w:r>
        <w:rPr>
          <w:rFonts w:hint="default" w:ascii="Times New Roman" w:hAnsi="Times New Roman" w:eastAsia="仿宋_GB2312" w:cs="Times New Roman"/>
          <w:color w:val="000000"/>
          <w:sz w:val="32"/>
          <w:szCs w:val="32"/>
          <w:highlight w:val="none"/>
          <w:lang w:eastAsia="zh-CN"/>
        </w:rPr>
        <w:t>70%</w:t>
      </w:r>
      <w:r>
        <w:rPr>
          <w:rFonts w:hint="eastAsia" w:ascii="仿宋_GB2312" w:hAnsi="仿宋_GB2312" w:eastAsia="仿宋_GB2312" w:cs="仿宋_GB2312"/>
          <w:color w:val="000000"/>
          <w:sz w:val="32"/>
          <w:szCs w:val="32"/>
          <w:highlight w:val="none"/>
          <w:lang w:eastAsia="zh-CN"/>
        </w:rPr>
        <w:t>收取</w:t>
      </w:r>
      <w:r>
        <w:rPr>
          <w:rFonts w:hint="eastAsia" w:ascii="仿宋_GB2312" w:hAnsi="仿宋_GB2312" w:eastAsia="仿宋_GB2312" w:cs="仿宋_GB2312"/>
          <w:sz w:val="32"/>
          <w:szCs w:val="32"/>
          <w:highlight w:val="none"/>
          <w:lang w:val="en-US" w:eastAsia="zh-CN"/>
        </w:rPr>
        <w:t>。</w:t>
      </w:r>
    </w:p>
    <w:p w14:paraId="72B52B8E">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第十</w:t>
      </w:r>
      <w:r>
        <w:rPr>
          <w:rFonts w:hint="eastAsia" w:ascii="仿宋_GB2312" w:hAnsi="仿宋_GB2312" w:eastAsia="仿宋_GB2312" w:cs="仿宋_GB2312"/>
          <w:b/>
          <w:bCs/>
          <w:color w:val="000000"/>
          <w:sz w:val="32"/>
          <w:szCs w:val="32"/>
          <w:highlight w:val="none"/>
          <w:lang w:val="en-US" w:eastAsia="zh-CN"/>
        </w:rPr>
        <w:t>二</w:t>
      </w:r>
      <w:r>
        <w:rPr>
          <w:rFonts w:hint="eastAsia" w:ascii="仿宋_GB2312" w:hAnsi="仿宋_GB2312" w:eastAsia="仿宋_GB2312" w:cs="仿宋_GB2312"/>
          <w:b/>
          <w:bCs/>
          <w:color w:val="000000"/>
          <w:sz w:val="32"/>
          <w:szCs w:val="32"/>
          <w:highlight w:val="none"/>
        </w:rPr>
        <w:t>条</w:t>
      </w:r>
      <w:r>
        <w:rPr>
          <w:rFonts w:hint="eastAsia" w:ascii="仿宋_GB2312" w:hAnsi="仿宋_GB2312" w:eastAsia="仿宋_GB2312" w:cs="仿宋_GB2312"/>
          <w:color w:val="000000"/>
          <w:sz w:val="32"/>
          <w:szCs w:val="32"/>
          <w:highlight w:val="none"/>
        </w:rPr>
        <w:t xml:space="preserve">  </w:t>
      </w:r>
      <w:r>
        <w:rPr>
          <w:rFonts w:hint="eastAsia" w:ascii="仿宋_GB2312" w:hAnsi="仿宋_GB2312" w:eastAsia="仿宋_GB2312" w:cs="仿宋_GB2312"/>
          <w:color w:val="000000"/>
          <w:sz w:val="32"/>
          <w:szCs w:val="32"/>
          <w:highlight w:val="none"/>
          <w:lang w:val="en-US" w:eastAsia="zh-CN"/>
        </w:rPr>
        <w:t>运营企业严格执行“收支两条线”资金管理规定，入驻对象缴纳租金、购买服务、水电气暖讯及物业等费用均由受委托方收取，并向入驻对象出具专业发票。入驻加速部落企业减免资金，由运营企业向主管部门提出申请，主管部门审核后，呈报旗人民政府，旗人民政府通过“专精特新”（科技专项）财政预算资金对加速部落运营企业进行保障。按照财政预决算规定，对加速部落运营收支情况，按时委托独立第三方审计机构进行评估</w:t>
      </w:r>
      <w:r>
        <w:rPr>
          <w:rFonts w:hint="eastAsia" w:ascii="仿宋_GB2312" w:hAnsi="仿宋_GB2312" w:eastAsia="仿宋_GB2312" w:cs="仿宋_GB2312"/>
          <w:color w:val="000000"/>
          <w:sz w:val="32"/>
          <w:szCs w:val="32"/>
          <w:highlight w:val="none"/>
        </w:rPr>
        <w:t>。</w:t>
      </w:r>
    </w:p>
    <w:p w14:paraId="1C66E0ED">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第十</w:t>
      </w:r>
      <w:r>
        <w:rPr>
          <w:rFonts w:hint="eastAsia" w:ascii="仿宋_GB2312" w:hAnsi="仿宋_GB2312" w:eastAsia="仿宋_GB2312" w:cs="仿宋_GB2312"/>
          <w:b/>
          <w:bCs/>
          <w:color w:val="000000"/>
          <w:sz w:val="32"/>
          <w:szCs w:val="32"/>
          <w:highlight w:val="none"/>
          <w:lang w:val="en-US" w:eastAsia="zh-CN"/>
        </w:rPr>
        <w:t>三</w:t>
      </w:r>
      <w:r>
        <w:rPr>
          <w:rFonts w:hint="eastAsia" w:ascii="仿宋_GB2312" w:hAnsi="仿宋_GB2312" w:eastAsia="仿宋_GB2312" w:cs="仿宋_GB2312"/>
          <w:b/>
          <w:bCs/>
          <w:color w:val="000000"/>
          <w:sz w:val="32"/>
          <w:szCs w:val="32"/>
          <w:highlight w:val="none"/>
        </w:rPr>
        <w:t>条</w:t>
      </w:r>
      <w:r>
        <w:rPr>
          <w:rFonts w:hint="eastAsia" w:ascii="仿宋_GB2312" w:hAnsi="仿宋_GB2312" w:eastAsia="仿宋_GB2312" w:cs="仿宋_GB2312"/>
          <w:color w:val="000000"/>
          <w:sz w:val="32"/>
          <w:szCs w:val="32"/>
          <w:highlight w:val="none"/>
        </w:rPr>
        <w:t xml:space="preserve">  </w:t>
      </w:r>
      <w:r>
        <w:rPr>
          <w:rFonts w:hint="eastAsia" w:ascii="仿宋_GB2312" w:hAnsi="仿宋_GB2312" w:eastAsia="仿宋_GB2312" w:cs="仿宋_GB2312"/>
          <w:color w:val="000000"/>
          <w:sz w:val="32"/>
          <w:szCs w:val="32"/>
          <w:highlight w:val="none"/>
          <w:lang w:val="en-US" w:eastAsia="zh-CN"/>
        </w:rPr>
        <w:t>运营企业为提升服务能力和专业水平，可通过购买服务、托管运营服务等模式，引进第三方服务机构，为入驻对象提供专业化、社会化、市场化服务</w:t>
      </w:r>
      <w:r>
        <w:rPr>
          <w:rFonts w:hint="eastAsia" w:ascii="仿宋_GB2312" w:hAnsi="仿宋_GB2312" w:eastAsia="仿宋_GB2312" w:cs="仿宋_GB2312"/>
          <w:color w:val="000000"/>
          <w:sz w:val="32"/>
          <w:szCs w:val="32"/>
          <w:highlight w:val="none"/>
        </w:rPr>
        <w:t>。</w:t>
      </w:r>
    </w:p>
    <w:p w14:paraId="741B50F0">
      <w:pPr>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 xml:space="preserve">第四章 </w:t>
      </w:r>
      <w:r>
        <w:rPr>
          <w:rFonts w:hint="eastAsia" w:ascii="黑体" w:hAnsi="黑体" w:eastAsia="黑体" w:cs="黑体"/>
          <w:b w:val="0"/>
          <w:bCs w:val="0"/>
          <w:color w:val="000000"/>
          <w:sz w:val="32"/>
          <w:szCs w:val="32"/>
          <w:highlight w:val="none"/>
        </w:rPr>
        <w:t>年度考核</w:t>
      </w:r>
    </w:p>
    <w:p w14:paraId="343355C3">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rPr>
        <w:t>第十四条</w:t>
      </w:r>
      <w:r>
        <w:rPr>
          <w:rFonts w:hint="eastAsia" w:ascii="仿宋_GB2312" w:hAnsi="仿宋_GB2312" w:eastAsia="仿宋_GB2312" w:cs="仿宋_GB2312"/>
          <w:b/>
          <w:bCs/>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lang w:val="en-US" w:eastAsia="zh-CN"/>
        </w:rPr>
        <w:t>考核方式：</w:t>
      </w:r>
    </w:p>
    <w:p w14:paraId="015F08D0">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（一）运营企业实行“日常检查、季度走访、半年统计、年度考核”制度，考核对象为所有入驻对象；</w:t>
      </w:r>
    </w:p>
    <w:p w14:paraId="729C8074">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（二）运营企业会同主管部门聘请专业第三方考核机构对入驻对象进行年终考核验收。</w:t>
      </w:r>
    </w:p>
    <w:p w14:paraId="4C7E67B6">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仿宋_GB2312" w:hAnsi="仿宋_GB2312" w:eastAsia="仿宋_GB2312" w:cs="仿宋_GB2312"/>
          <w:color w:val="000000"/>
          <w:sz w:val="32"/>
          <w:szCs w:val="32"/>
          <w:highlight w:val="yellow"/>
          <w:lang w:val="en-US" w:eastAsia="zh-CN"/>
        </w:rPr>
      </w:pPr>
      <w:r>
        <w:rPr>
          <w:rFonts w:hint="eastAsia" w:ascii="仿宋_GB2312" w:hAnsi="仿宋_GB2312" w:eastAsia="仿宋_GB2312" w:cs="仿宋_GB2312"/>
          <w:color w:val="000000"/>
          <w:sz w:val="32"/>
          <w:szCs w:val="32"/>
          <w:highlight w:val="none"/>
          <w:lang w:val="en-US" w:eastAsia="zh-CN"/>
        </w:rPr>
        <w:t>（三）入驻对象按要求报送数据资料，接受考核与监管</w:t>
      </w:r>
      <w:r>
        <w:rPr>
          <w:rFonts w:hint="eastAsia" w:ascii="仿宋_GB2312" w:hAnsi="仿宋_GB2312" w:eastAsia="仿宋_GB2312" w:cs="仿宋_GB2312"/>
          <w:color w:val="000000"/>
          <w:sz w:val="32"/>
          <w:szCs w:val="32"/>
          <w:highlight w:val="none"/>
        </w:rPr>
        <w:t>。</w:t>
      </w:r>
    </w:p>
    <w:p w14:paraId="4C7BAC3E">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第十五条</w:t>
      </w:r>
      <w:r>
        <w:rPr>
          <w:rFonts w:hint="eastAsia" w:ascii="仿宋_GB2312" w:hAnsi="仿宋_GB2312" w:eastAsia="仿宋_GB2312" w:cs="仿宋_GB2312"/>
          <w:color w:val="000000"/>
          <w:sz w:val="32"/>
          <w:szCs w:val="32"/>
          <w:highlight w:val="none"/>
        </w:rPr>
        <w:t xml:space="preserve"> </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考核结果分为优秀、合格、不合格三个档次，主要依据经营状况、产业贡献、合规运营等情况评定。</w:t>
      </w:r>
    </w:p>
    <w:p w14:paraId="4FCEE922">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第十六条</w:t>
      </w:r>
      <w:r>
        <w:rPr>
          <w:rFonts w:hint="eastAsia" w:ascii="仿宋_GB2312" w:hAnsi="仿宋_GB2312" w:eastAsia="仿宋_GB2312" w:cs="仿宋_GB2312"/>
          <w:color w:val="000000"/>
          <w:sz w:val="32"/>
          <w:szCs w:val="32"/>
          <w:highlight w:val="none"/>
        </w:rPr>
        <w:t xml:space="preserve"> </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考核结果运用：</w:t>
      </w:r>
    </w:p>
    <w:p w14:paraId="4365160D">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（一）优秀的，入驻期满可申请延期，延长期限不超过</w:t>
      </w:r>
      <w:r>
        <w:rPr>
          <w:rFonts w:hint="default" w:ascii="Times New Roman" w:hAnsi="Times New Roman" w:eastAsia="仿宋_GB2312" w:cs="Times New Roman"/>
          <w:color w:val="000000"/>
          <w:sz w:val="32"/>
          <w:szCs w:val="32"/>
          <w:highlight w:val="none"/>
        </w:rPr>
        <w:t>3</w:t>
      </w:r>
      <w:r>
        <w:rPr>
          <w:rFonts w:hint="eastAsia" w:ascii="仿宋_GB2312" w:hAnsi="仿宋_GB2312" w:eastAsia="仿宋_GB2312" w:cs="仿宋_GB2312"/>
          <w:color w:val="000000"/>
          <w:sz w:val="32"/>
          <w:szCs w:val="32"/>
          <w:highlight w:val="none"/>
        </w:rPr>
        <w:t>年；</w:t>
      </w:r>
    </w:p>
    <w:p w14:paraId="02B1AC1B">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（二）合格的，按入驻协议执行；</w:t>
      </w:r>
    </w:p>
    <w:p w14:paraId="550AB595">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（三）不合格的，终止协议并退出；确需继续入驻的，按市场价缴费且不享受优惠。</w:t>
      </w:r>
    </w:p>
    <w:p w14:paraId="486F023F">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第十七条</w:t>
      </w:r>
      <w:r>
        <w:rPr>
          <w:rFonts w:hint="eastAsia" w:ascii="仿宋_GB2312" w:hAnsi="仿宋_GB2312" w:eastAsia="仿宋_GB2312" w:cs="仿宋_GB2312"/>
          <w:color w:val="000000"/>
          <w:sz w:val="32"/>
          <w:szCs w:val="32"/>
          <w:highlight w:val="none"/>
        </w:rPr>
        <w:t xml:space="preserve"> </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入驻对象有下列情形之一的，</w:t>
      </w:r>
      <w:r>
        <w:rPr>
          <w:rFonts w:hint="eastAsia" w:ascii="仿宋_GB2312" w:hAnsi="仿宋_GB2312" w:eastAsia="仿宋_GB2312" w:cs="仿宋_GB2312"/>
          <w:color w:val="000000"/>
          <w:sz w:val="32"/>
          <w:szCs w:val="32"/>
          <w:highlight w:val="none"/>
          <w:lang w:val="en-US" w:eastAsia="zh-CN"/>
        </w:rPr>
        <w:t>主管部门</w:t>
      </w:r>
      <w:r>
        <w:rPr>
          <w:rFonts w:hint="eastAsia" w:ascii="仿宋_GB2312" w:hAnsi="仿宋_GB2312" w:eastAsia="仿宋_GB2312" w:cs="仿宋_GB2312"/>
          <w:color w:val="000000"/>
          <w:sz w:val="32"/>
          <w:szCs w:val="32"/>
          <w:highlight w:val="none"/>
        </w:rPr>
        <w:t>可</w:t>
      </w:r>
      <w:r>
        <w:rPr>
          <w:rFonts w:hint="eastAsia" w:ascii="仿宋_GB2312" w:hAnsi="仿宋_GB2312" w:eastAsia="仿宋_GB2312" w:cs="仿宋_GB2312"/>
          <w:color w:val="000000"/>
          <w:sz w:val="32"/>
          <w:szCs w:val="32"/>
          <w:highlight w:val="none"/>
          <w:lang w:val="en-US" w:eastAsia="zh-CN"/>
        </w:rPr>
        <w:t>书面通知</w:t>
      </w:r>
      <w:r>
        <w:rPr>
          <w:rFonts w:hint="eastAsia" w:ascii="仿宋_GB2312" w:hAnsi="仿宋_GB2312" w:eastAsia="仿宋_GB2312" w:cs="仿宋_GB2312"/>
          <w:color w:val="000000"/>
          <w:sz w:val="32"/>
          <w:szCs w:val="32"/>
          <w:highlight w:val="none"/>
        </w:rPr>
        <w:t>终止协议：</w:t>
      </w:r>
    </w:p>
    <w:p w14:paraId="61C497F9">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（一）安全隐患整改不到位的；</w:t>
      </w:r>
    </w:p>
    <w:p w14:paraId="59B9F423">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（二）擅自转租或变更主营业务的；</w:t>
      </w:r>
    </w:p>
    <w:p w14:paraId="60941D0D">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（三）擅自将注册地迁出的；</w:t>
      </w:r>
    </w:p>
    <w:p w14:paraId="172493B8">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（四）进入破产清算程序的；</w:t>
      </w:r>
    </w:p>
    <w:p w14:paraId="7BE2878C">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（五）存在其他违法行为的。</w:t>
      </w:r>
    </w:p>
    <w:p w14:paraId="48841D3B">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第十八条</w:t>
      </w:r>
      <w:r>
        <w:rPr>
          <w:rFonts w:hint="eastAsia" w:ascii="仿宋_GB2312" w:hAnsi="仿宋_GB2312" w:eastAsia="仿宋_GB2312" w:cs="仿宋_GB2312"/>
          <w:color w:val="000000"/>
          <w:sz w:val="32"/>
          <w:szCs w:val="32"/>
          <w:highlight w:val="none"/>
        </w:rPr>
        <w:t xml:space="preserve"> </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退出形式包括：</w:t>
      </w:r>
    </w:p>
    <w:p w14:paraId="18F7985E">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（一）协议期满退出：入驻对象应当在期满前</w:t>
      </w:r>
      <w:r>
        <w:rPr>
          <w:rFonts w:hint="default" w:ascii="Times New Roman" w:hAnsi="Times New Roman" w:eastAsia="仿宋_GB2312" w:cs="Times New Roman"/>
          <w:color w:val="000000"/>
          <w:sz w:val="32"/>
          <w:szCs w:val="32"/>
          <w:highlight w:val="none"/>
        </w:rPr>
        <w:t>30</w:t>
      </w:r>
      <w:r>
        <w:rPr>
          <w:rFonts w:hint="eastAsia" w:ascii="仿宋_GB2312" w:hAnsi="仿宋_GB2312" w:eastAsia="仿宋_GB2312" w:cs="仿宋_GB2312"/>
          <w:color w:val="000000"/>
          <w:sz w:val="32"/>
          <w:szCs w:val="32"/>
          <w:highlight w:val="none"/>
        </w:rPr>
        <w:t>日内办理退出手续；</w:t>
      </w:r>
    </w:p>
    <w:p w14:paraId="2A3E753E">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（二）主动申请退出：应当提前</w:t>
      </w:r>
      <w:r>
        <w:rPr>
          <w:rFonts w:hint="default" w:ascii="Times New Roman" w:hAnsi="Times New Roman" w:eastAsia="仿宋_GB2312" w:cs="Times New Roman"/>
          <w:color w:val="000000"/>
          <w:sz w:val="32"/>
          <w:szCs w:val="32"/>
          <w:highlight w:val="none"/>
        </w:rPr>
        <w:t>30</w:t>
      </w:r>
      <w:r>
        <w:rPr>
          <w:rFonts w:hint="eastAsia" w:ascii="仿宋_GB2312" w:hAnsi="仿宋_GB2312" w:eastAsia="仿宋_GB2312" w:cs="仿宋_GB2312"/>
          <w:color w:val="000000"/>
          <w:sz w:val="32"/>
          <w:szCs w:val="32"/>
          <w:highlight w:val="none"/>
        </w:rPr>
        <w:t>日提交书面申请，经主管部门审核同意后，办理退出手续；</w:t>
      </w:r>
    </w:p>
    <w:p w14:paraId="7D5F53D4">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rPr>
      </w:pPr>
      <w:r>
        <w:rPr>
          <w:rFonts w:hint="eastAsia" w:ascii="仿宋_GB2312" w:hAnsi="仿宋_GB2312" w:eastAsia="仿宋_GB2312" w:cs="仿宋_GB2312"/>
          <w:color w:val="000000"/>
          <w:sz w:val="32"/>
          <w:szCs w:val="32"/>
          <w:highlight w:val="none"/>
        </w:rPr>
        <w:t>（三）限期退出：主管部门对符合第十七条情形的，发出《退出通知书》，入驻对象应当在收到通知书后</w:t>
      </w:r>
      <w:r>
        <w:rPr>
          <w:rFonts w:hint="default" w:ascii="Times New Roman" w:hAnsi="Times New Roman" w:eastAsia="仿宋_GB2312" w:cs="Times New Roman"/>
          <w:color w:val="000000"/>
          <w:sz w:val="32"/>
          <w:szCs w:val="32"/>
          <w:highlight w:val="none"/>
        </w:rPr>
        <w:t>15</w:t>
      </w:r>
      <w:r>
        <w:rPr>
          <w:rFonts w:hint="eastAsia" w:ascii="仿宋_GB2312" w:hAnsi="仿宋_GB2312" w:eastAsia="仿宋_GB2312" w:cs="仿宋_GB2312"/>
          <w:color w:val="000000"/>
          <w:sz w:val="32"/>
          <w:szCs w:val="32"/>
          <w:highlight w:val="none"/>
        </w:rPr>
        <w:t>日内撤出并清理场地；逾期未撤出的，予以强制清理。</w:t>
      </w:r>
    </w:p>
    <w:p w14:paraId="6AC417E5">
      <w:pPr>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rPr>
          <w:rFonts w:hint="eastAsia" w:ascii="仿宋_GB2312" w:hAnsi="仿宋_GB2312" w:eastAsia="仿宋_GB2312" w:cs="仿宋_GB2312"/>
          <w:color w:val="000000"/>
          <w:sz w:val="32"/>
          <w:szCs w:val="32"/>
          <w:highlight w:val="none"/>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val="en-US" w:eastAsia="zh-CN"/>
        </w:rPr>
        <w:t>五</w:t>
      </w:r>
      <w:r>
        <w:rPr>
          <w:rFonts w:hint="eastAsia" w:ascii="黑体" w:hAnsi="黑体" w:eastAsia="黑体" w:cs="黑体"/>
          <w:b w:val="0"/>
          <w:bCs w:val="0"/>
          <w:color w:val="000000"/>
          <w:sz w:val="32"/>
          <w:szCs w:val="32"/>
          <w:highlight w:val="none"/>
        </w:rPr>
        <w:t>章 监督与责任</w:t>
      </w:r>
    </w:p>
    <w:p w14:paraId="68444D4D">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第十九条</w:t>
      </w:r>
      <w:r>
        <w:rPr>
          <w:rFonts w:hint="eastAsia" w:ascii="仿宋_GB2312" w:hAnsi="仿宋_GB2312" w:eastAsia="仿宋_GB2312" w:cs="仿宋_GB2312"/>
          <w:b/>
          <w:bCs/>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 xml:space="preserve"> 入驻对象及利害关系人对运营管理有异议的，可向主管部门提出；主管部门应当在</w:t>
      </w:r>
      <w:r>
        <w:rPr>
          <w:rFonts w:hint="default" w:ascii="Times New Roman" w:hAnsi="Times New Roman" w:eastAsia="仿宋_GB2312" w:cs="Times New Roman"/>
          <w:color w:val="000000"/>
          <w:sz w:val="32"/>
          <w:szCs w:val="32"/>
          <w:highlight w:val="none"/>
        </w:rPr>
        <w:t>15</w:t>
      </w:r>
      <w:r>
        <w:rPr>
          <w:rFonts w:hint="eastAsia" w:ascii="仿宋_GB2312" w:hAnsi="仿宋_GB2312" w:eastAsia="仿宋_GB2312" w:cs="仿宋_GB2312"/>
          <w:color w:val="000000"/>
          <w:sz w:val="32"/>
          <w:szCs w:val="32"/>
          <w:highlight w:val="none"/>
        </w:rPr>
        <w:t>个工作日内回复。</w:t>
      </w:r>
    </w:p>
    <w:p w14:paraId="34C8E9D4">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jc w:val="both"/>
        <w:textAlignment w:val="auto"/>
        <w:rPr>
          <w:rFonts w:hint="eastAsia"/>
        </w:rPr>
      </w:pPr>
      <w:r>
        <w:rPr>
          <w:rFonts w:hint="eastAsia" w:ascii="仿宋_GB2312" w:hAnsi="仿宋_GB2312" w:eastAsia="仿宋_GB2312" w:cs="仿宋_GB2312"/>
          <w:b/>
          <w:bCs/>
          <w:color w:val="000000"/>
          <w:sz w:val="32"/>
          <w:szCs w:val="32"/>
          <w:highlight w:val="none"/>
        </w:rPr>
        <w:t>第二十条</w:t>
      </w:r>
      <w:r>
        <w:rPr>
          <w:rFonts w:hint="eastAsia" w:ascii="仿宋_GB2312" w:hAnsi="仿宋_GB2312" w:eastAsia="仿宋_GB2312" w:cs="仿宋_GB2312"/>
          <w:color w:val="000000"/>
          <w:sz w:val="32"/>
          <w:szCs w:val="32"/>
          <w:highlight w:val="none"/>
        </w:rPr>
        <w:t xml:space="preserve"> </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加速部落工作人员违规收费、滥用职权的，依法追究责任。</w:t>
      </w:r>
    </w:p>
    <w:p w14:paraId="517F6E70">
      <w:pPr>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rPr>
          <w:rFonts w:hint="eastAsia" w:ascii="仿宋_GB2312" w:hAnsi="仿宋_GB2312" w:eastAsia="仿宋_GB2312" w:cs="仿宋_GB2312"/>
          <w:color w:val="000000"/>
          <w:sz w:val="32"/>
          <w:szCs w:val="32"/>
          <w:highlight w:val="none"/>
        </w:rPr>
      </w:pPr>
      <w:r>
        <w:rPr>
          <w:rFonts w:hint="eastAsia" w:ascii="黑体" w:hAnsi="黑体" w:eastAsia="黑体" w:cs="黑体"/>
          <w:b w:val="0"/>
          <w:bCs w:val="0"/>
          <w:color w:val="000000"/>
          <w:sz w:val="32"/>
          <w:szCs w:val="32"/>
          <w:highlight w:val="none"/>
          <w:lang w:val="en-US" w:eastAsia="zh-CN"/>
        </w:rPr>
        <w:t>第六章 附则</w:t>
      </w:r>
    </w:p>
    <w:p w14:paraId="1B2D62A1">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jc w:val="both"/>
        <w:textAlignment w:val="auto"/>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 xml:space="preserve">第二十一条  </w:t>
      </w:r>
      <w:r>
        <w:rPr>
          <w:rFonts w:hint="eastAsia" w:ascii="仿宋_GB2312" w:hAnsi="仿宋_GB2312" w:eastAsia="仿宋_GB2312" w:cs="仿宋_GB2312"/>
          <w:color w:val="000000"/>
          <w:sz w:val="32"/>
          <w:szCs w:val="32"/>
          <w:highlight w:val="none"/>
        </w:rPr>
        <w:t>本办法由主管部门负责解释。</w:t>
      </w:r>
    </w:p>
    <w:p w14:paraId="7C994265">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 xml:space="preserve">第二十二条  </w:t>
      </w:r>
      <w:r>
        <w:rPr>
          <w:rFonts w:hint="eastAsia" w:ascii="仿宋_GB2312" w:hAnsi="仿宋_GB2312" w:eastAsia="仿宋_GB2312" w:cs="仿宋_GB2312"/>
          <w:color w:val="000000"/>
          <w:sz w:val="32"/>
          <w:szCs w:val="32"/>
          <w:highlight w:val="none"/>
        </w:rPr>
        <w:t>本办法自印发之日起施行，此前印发的《达拉特旗人民政府关于印发&lt;达拉特旗隐形冠军加速部落管理办法</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试行</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&gt;的通知》</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达政发〔2023〕85号</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同时废止。</w:t>
      </w:r>
    </w:p>
    <w:p w14:paraId="52BA2D6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sz w:val="32"/>
          <w:szCs w:val="32"/>
          <w:highlight w:val="none"/>
        </w:rPr>
      </w:pPr>
    </w:p>
    <w:p w14:paraId="4A0BDEE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附件：达拉特旗隐形冠军加速部落入驻申请表</w:t>
      </w:r>
    </w:p>
    <w:p w14:paraId="5CA93E34">
      <w:pPr>
        <w:rPr>
          <w:rFonts w:hint="eastAsia" w:ascii="黑体" w:hAnsi="黑体" w:eastAsia="黑体" w:cs="黑体"/>
          <w:spacing w:val="-4"/>
          <w:sz w:val="28"/>
          <w:szCs w:val="28"/>
          <w:highlight w:val="none"/>
        </w:rPr>
      </w:pPr>
    </w:p>
    <w:p w14:paraId="09A6741C">
      <w:pPr>
        <w:rPr>
          <w:rFonts w:hint="eastAsia" w:ascii="黑体" w:hAnsi="黑体" w:eastAsia="黑体" w:cs="黑体"/>
          <w:spacing w:val="-4"/>
          <w:sz w:val="28"/>
          <w:szCs w:val="28"/>
          <w:highlight w:val="none"/>
        </w:rPr>
      </w:pPr>
    </w:p>
    <w:p w14:paraId="2FF21650">
      <w:pPr>
        <w:rPr>
          <w:rFonts w:hint="eastAsia" w:ascii="黑体" w:hAnsi="黑体" w:eastAsia="黑体" w:cs="黑体"/>
          <w:spacing w:val="-4"/>
          <w:sz w:val="28"/>
          <w:szCs w:val="28"/>
          <w:highlight w:val="none"/>
        </w:rPr>
      </w:pPr>
    </w:p>
    <w:p w14:paraId="17496058">
      <w:pPr>
        <w:rPr>
          <w:rFonts w:ascii="黑体" w:hAnsi="黑体" w:eastAsia="黑体" w:cs="黑体"/>
          <w:spacing w:val="-4"/>
          <w:sz w:val="28"/>
          <w:szCs w:val="28"/>
          <w:highlight w:val="none"/>
        </w:rPr>
      </w:pPr>
      <w:bookmarkStart w:id="0" w:name="_GoBack"/>
      <w:bookmarkEnd w:id="0"/>
      <w:r>
        <w:rPr>
          <w:rFonts w:hint="eastAsia" w:ascii="黑体" w:hAnsi="黑体" w:eastAsia="黑体" w:cs="黑体"/>
          <w:spacing w:val="-4"/>
          <w:sz w:val="28"/>
          <w:szCs w:val="28"/>
          <w:highlight w:val="none"/>
        </w:rPr>
        <w:t>附件</w:t>
      </w:r>
    </w:p>
    <w:p w14:paraId="1A1491FF">
      <w:pPr>
        <w:spacing w:before="137" w:line="592" w:lineRule="exact"/>
        <w:jc w:val="center"/>
        <w:rPr>
          <w:rFonts w:ascii="方正小标宋简体" w:hAnsi="方正小标宋简体" w:eastAsia="方正小标宋简体" w:cs="方正小标宋简体"/>
          <w:spacing w:val="-4"/>
          <w:sz w:val="44"/>
          <w:szCs w:val="44"/>
          <w:highlight w:val="none"/>
        </w:rPr>
      </w:pPr>
      <w:r>
        <w:rPr>
          <w:rFonts w:hint="eastAsia" w:ascii="方正小标宋简体" w:hAnsi="方正小标宋简体" w:eastAsia="方正小标宋简体" w:cs="方正小标宋简体"/>
          <w:spacing w:val="-4"/>
          <w:sz w:val="44"/>
          <w:szCs w:val="44"/>
          <w:highlight w:val="none"/>
        </w:rPr>
        <w:t>达拉特旗隐形冠军加速部落入驻申请表</w:t>
      </w:r>
    </w:p>
    <w:p w14:paraId="63762663">
      <w:pPr>
        <w:spacing w:before="137" w:line="300" w:lineRule="exact"/>
        <w:jc w:val="center"/>
        <w:rPr>
          <w:rFonts w:ascii="宋体" w:hAnsi="宋体" w:eastAsia="宋体" w:cs="宋体"/>
          <w:b/>
          <w:bCs/>
          <w:spacing w:val="-4"/>
          <w:sz w:val="42"/>
          <w:szCs w:val="42"/>
          <w:highlight w:val="none"/>
        </w:rPr>
      </w:pPr>
    </w:p>
    <w:p w14:paraId="1A1C601D">
      <w:pPr>
        <w:spacing w:before="10" w:line="300" w:lineRule="exact"/>
        <w:rPr>
          <w:rFonts w:ascii="宋体" w:hAnsi="宋体" w:eastAsia="宋体" w:cs="宋体"/>
          <w:sz w:val="27"/>
          <w:szCs w:val="27"/>
          <w:highlight w:val="none"/>
        </w:rPr>
      </w:pPr>
      <w:r>
        <w:rPr>
          <w:rFonts w:ascii="楷体" w:hAnsi="楷体" w:eastAsia="楷体" w:cs="楷体"/>
          <w:spacing w:val="-27"/>
          <w:position w:val="-1"/>
          <w:sz w:val="23"/>
          <w:szCs w:val="23"/>
          <w:highlight w:val="none"/>
        </w:rPr>
        <w:t>填表日期：</w:t>
      </w:r>
      <w:r>
        <w:rPr>
          <w:rFonts w:hint="eastAsia" w:ascii="楷体" w:hAnsi="楷体" w:eastAsia="楷体" w:cs="楷体"/>
          <w:spacing w:val="-22"/>
          <w:position w:val="-1"/>
          <w:sz w:val="23"/>
          <w:szCs w:val="23"/>
          <w:highlight w:val="none"/>
          <w:u w:val="single"/>
        </w:rPr>
        <w:t xml:space="preserve">               </w:t>
      </w:r>
      <w:r>
        <w:rPr>
          <w:rFonts w:ascii="楷体" w:hAnsi="楷体" w:eastAsia="楷体" w:cs="楷体"/>
          <w:spacing w:val="-27"/>
          <w:position w:val="-1"/>
          <w:sz w:val="23"/>
          <w:szCs w:val="23"/>
          <w:highlight w:val="none"/>
        </w:rPr>
        <w:t>年</w:t>
      </w:r>
      <w:r>
        <w:rPr>
          <w:rFonts w:ascii="楷体" w:hAnsi="楷体" w:eastAsia="楷体" w:cs="楷体"/>
          <w:spacing w:val="-22"/>
          <w:position w:val="-1"/>
          <w:sz w:val="23"/>
          <w:szCs w:val="23"/>
          <w:highlight w:val="none"/>
        </w:rPr>
        <w:t xml:space="preserve"> </w:t>
      </w:r>
      <w:r>
        <w:rPr>
          <w:rFonts w:hint="eastAsia" w:ascii="楷体" w:hAnsi="楷体" w:eastAsia="楷体" w:cs="楷体"/>
          <w:spacing w:val="-22"/>
          <w:position w:val="-1"/>
          <w:sz w:val="23"/>
          <w:szCs w:val="23"/>
          <w:highlight w:val="none"/>
          <w:u w:val="single"/>
        </w:rPr>
        <w:t xml:space="preserve">            </w:t>
      </w:r>
      <w:r>
        <w:rPr>
          <w:rFonts w:ascii="楷体" w:hAnsi="楷体" w:eastAsia="楷体" w:cs="楷体"/>
          <w:spacing w:val="-27"/>
          <w:position w:val="-1"/>
          <w:sz w:val="23"/>
          <w:szCs w:val="23"/>
          <w:highlight w:val="none"/>
        </w:rPr>
        <w:t>月</w:t>
      </w:r>
      <w:r>
        <w:rPr>
          <w:rFonts w:ascii="楷体" w:hAnsi="楷体" w:eastAsia="楷体" w:cs="楷体"/>
          <w:spacing w:val="-109"/>
          <w:position w:val="-1"/>
          <w:sz w:val="23"/>
          <w:szCs w:val="23"/>
          <w:highlight w:val="none"/>
        </w:rPr>
        <w:t xml:space="preserve"> </w:t>
      </w:r>
      <w:r>
        <w:rPr>
          <w:rFonts w:hint="eastAsia" w:ascii="楷体" w:hAnsi="楷体" w:eastAsia="楷体" w:cs="楷体"/>
          <w:spacing w:val="-22"/>
          <w:position w:val="-1"/>
          <w:sz w:val="23"/>
          <w:szCs w:val="23"/>
          <w:highlight w:val="none"/>
          <w:u w:val="single"/>
        </w:rPr>
        <w:t xml:space="preserve">             </w:t>
      </w:r>
      <w:r>
        <w:rPr>
          <w:rFonts w:ascii="楷体" w:hAnsi="楷体" w:eastAsia="楷体" w:cs="楷体"/>
          <w:spacing w:val="-27"/>
          <w:position w:val="-1"/>
          <w:sz w:val="23"/>
          <w:szCs w:val="23"/>
          <w:highlight w:val="none"/>
        </w:rPr>
        <w:t>日</w:t>
      </w:r>
      <w:r>
        <w:rPr>
          <w:rFonts w:ascii="楷体" w:hAnsi="楷体" w:eastAsia="楷体" w:cs="楷体"/>
          <w:spacing w:val="1"/>
          <w:position w:val="-1"/>
          <w:sz w:val="23"/>
          <w:szCs w:val="23"/>
          <w:highlight w:val="none"/>
        </w:rPr>
        <w:t xml:space="preserve">         </w:t>
      </w:r>
      <w:r>
        <w:rPr>
          <w:rFonts w:hint="eastAsia" w:ascii="楷体" w:hAnsi="楷体" w:eastAsia="楷体" w:cs="楷体"/>
          <w:spacing w:val="1"/>
          <w:position w:val="-1"/>
          <w:sz w:val="23"/>
          <w:szCs w:val="23"/>
          <w:highlight w:val="none"/>
        </w:rPr>
        <w:t xml:space="preserve"> </w:t>
      </w:r>
      <w:r>
        <w:rPr>
          <w:rFonts w:ascii="楷体" w:hAnsi="楷体" w:eastAsia="楷体" w:cs="楷体"/>
          <w:spacing w:val="1"/>
          <w:position w:val="-1"/>
          <w:sz w:val="23"/>
          <w:szCs w:val="23"/>
          <w:highlight w:val="none"/>
        </w:rPr>
        <w:t xml:space="preserve">  </w:t>
      </w:r>
      <w:r>
        <w:rPr>
          <w:rFonts w:ascii="楷体" w:hAnsi="楷体" w:eastAsia="楷体" w:cs="楷体"/>
          <w:spacing w:val="-27"/>
          <w:position w:val="1"/>
          <w:sz w:val="26"/>
          <w:szCs w:val="26"/>
          <w:highlight w:val="none"/>
        </w:rPr>
        <w:t>编号：</w:t>
      </w:r>
      <w:r>
        <w:rPr>
          <w:rFonts w:hint="eastAsia" w:ascii="楷体" w:hAnsi="楷体" w:eastAsia="楷体" w:cs="楷体"/>
          <w:spacing w:val="-22"/>
          <w:position w:val="-1"/>
          <w:sz w:val="23"/>
          <w:szCs w:val="23"/>
          <w:highlight w:val="none"/>
          <w:u w:val="single"/>
        </w:rPr>
        <w:t xml:space="preserve">               </w:t>
      </w:r>
      <w:r>
        <w:rPr>
          <w:rFonts w:ascii="宋体" w:hAnsi="宋体" w:eastAsia="宋体" w:cs="宋体"/>
          <w:spacing w:val="-27"/>
          <w:sz w:val="27"/>
          <w:szCs w:val="27"/>
          <w:highlight w:val="none"/>
        </w:rPr>
        <w:t>年</w:t>
      </w:r>
      <w:r>
        <w:rPr>
          <w:rFonts w:ascii="宋体" w:hAnsi="宋体" w:eastAsia="宋体" w:cs="宋体"/>
          <w:spacing w:val="-125"/>
          <w:sz w:val="27"/>
          <w:szCs w:val="27"/>
          <w:highlight w:val="none"/>
        </w:rPr>
        <w:t xml:space="preserve"> </w:t>
      </w:r>
      <w:r>
        <w:rPr>
          <w:rFonts w:ascii="宋体" w:hAnsi="宋体" w:eastAsia="宋体" w:cs="宋体"/>
          <w:sz w:val="27"/>
          <w:szCs w:val="27"/>
          <w:highlight w:val="none"/>
          <w:u w:val="single"/>
        </w:rPr>
        <w:t xml:space="preserve"> </w:t>
      </w:r>
      <w:r>
        <w:rPr>
          <w:rFonts w:hint="eastAsia" w:ascii="楷体" w:hAnsi="楷体" w:eastAsia="楷体" w:cs="楷体"/>
          <w:spacing w:val="-22"/>
          <w:position w:val="-1"/>
          <w:sz w:val="23"/>
          <w:szCs w:val="23"/>
          <w:highlight w:val="none"/>
          <w:u w:val="single"/>
        </w:rPr>
        <w:t xml:space="preserve">             </w:t>
      </w:r>
      <w:r>
        <w:rPr>
          <w:rFonts w:ascii="宋体" w:hAnsi="宋体" w:eastAsia="宋体" w:cs="宋体"/>
          <w:spacing w:val="-27"/>
          <w:sz w:val="27"/>
          <w:szCs w:val="27"/>
          <w:highlight w:val="none"/>
        </w:rPr>
        <w:t>号</w:t>
      </w:r>
    </w:p>
    <w:tbl>
      <w:tblPr>
        <w:tblStyle w:val="9"/>
        <w:tblpPr w:leftFromText="180" w:rightFromText="180" w:vertAnchor="text" w:horzAnchor="page" w:tblpX="1139" w:tblpY="18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9"/>
        <w:gridCol w:w="1107"/>
        <w:gridCol w:w="2151"/>
        <w:gridCol w:w="989"/>
        <w:gridCol w:w="689"/>
        <w:gridCol w:w="679"/>
        <w:gridCol w:w="1019"/>
        <w:gridCol w:w="2389"/>
      </w:tblGrid>
      <w:tr w14:paraId="02B79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846" w:type="dxa"/>
            <w:gridSpan w:val="2"/>
            <w:noWrap w:val="0"/>
            <w:vAlign w:val="top"/>
          </w:tcPr>
          <w:p w14:paraId="0FBBF264">
            <w:pPr>
              <w:spacing w:before="54" w:line="300" w:lineRule="exact"/>
              <w:ind w:right="339"/>
              <w:jc w:val="center"/>
              <w:rPr>
                <w:rFonts w:ascii="仿宋_GB2312" w:hAnsi="仿宋_GB2312" w:eastAsia="仿宋_GB2312" w:cs="仿宋_GB2312"/>
                <w:szCs w:val="21"/>
                <w:highlight w:val="none"/>
              </w:rPr>
            </w:pPr>
            <w:r>
              <w:rPr>
                <w:rFonts w:hint="eastAsia" w:ascii="仿宋_GB2312" w:hAnsi="仿宋_GB2312" w:eastAsia="仿宋_GB2312" w:cs="仿宋_GB2312"/>
                <w:spacing w:val="-2"/>
                <w:szCs w:val="21"/>
                <w:highlight w:val="none"/>
              </w:rPr>
              <w:t>入驻</w:t>
            </w:r>
            <w:r>
              <w:rPr>
                <w:rFonts w:hint="eastAsia" w:ascii="仿宋_GB2312" w:hAnsi="仿宋_GB2312" w:eastAsia="仿宋_GB2312" w:cs="仿宋_GB2312"/>
                <w:spacing w:val="-2"/>
                <w:szCs w:val="21"/>
                <w:highlight w:val="none"/>
                <w:lang w:val="en-US" w:eastAsia="zh-CN"/>
              </w:rPr>
              <w:t>对象</w:t>
            </w:r>
            <w:r>
              <w:rPr>
                <w:rFonts w:hint="eastAsia" w:ascii="仿宋_GB2312" w:hAnsi="仿宋_GB2312" w:eastAsia="仿宋_GB2312" w:cs="仿宋_GB2312"/>
                <w:spacing w:val="3"/>
                <w:szCs w:val="21"/>
                <w:highlight w:val="none"/>
              </w:rPr>
              <w:t>名称</w:t>
            </w:r>
          </w:p>
        </w:tc>
        <w:tc>
          <w:tcPr>
            <w:tcW w:w="7916" w:type="dxa"/>
            <w:gridSpan w:val="6"/>
            <w:noWrap w:val="0"/>
            <w:vAlign w:val="top"/>
          </w:tcPr>
          <w:p w14:paraId="770A3C84">
            <w:pPr>
              <w:spacing w:line="300" w:lineRule="exact"/>
              <w:rPr>
                <w:rFonts w:ascii="仿宋_GB2312" w:hAnsi="仿宋_GB2312" w:eastAsia="仿宋_GB2312" w:cs="仿宋_GB2312"/>
                <w:highlight w:val="none"/>
              </w:rPr>
            </w:pPr>
          </w:p>
        </w:tc>
      </w:tr>
      <w:tr w14:paraId="14E02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739" w:type="dxa"/>
            <w:vMerge w:val="restart"/>
            <w:tcBorders>
              <w:bottom w:val="nil"/>
            </w:tcBorders>
            <w:noWrap w:val="0"/>
            <w:textDirection w:val="tbRlV"/>
            <w:vAlign w:val="top"/>
          </w:tcPr>
          <w:p w14:paraId="0CB5AC88">
            <w:pPr>
              <w:spacing w:before="239" w:line="300" w:lineRule="exact"/>
              <w:ind w:left="2730"/>
              <w:rPr>
                <w:rFonts w:ascii="仿宋_GB2312" w:hAnsi="仿宋_GB2312" w:eastAsia="仿宋_GB2312" w:cs="仿宋_GB2312"/>
                <w:szCs w:val="21"/>
                <w:highlight w:val="none"/>
              </w:rPr>
            </w:pPr>
            <w:r>
              <w:rPr>
                <w:rFonts w:hint="eastAsia" w:ascii="仿宋_GB2312" w:hAnsi="仿宋_GB2312" w:eastAsia="仿宋_GB2312" w:cs="仿宋_GB2312"/>
                <w:spacing w:val="-3"/>
                <w:szCs w:val="21"/>
                <w:highlight w:val="none"/>
              </w:rPr>
              <w:t>基本情况</w:t>
            </w:r>
          </w:p>
        </w:tc>
        <w:tc>
          <w:tcPr>
            <w:tcW w:w="1107" w:type="dxa"/>
            <w:noWrap w:val="0"/>
            <w:vAlign w:val="center"/>
          </w:tcPr>
          <w:p w14:paraId="30209591">
            <w:pPr>
              <w:spacing w:before="60" w:line="30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pacing w:val="5"/>
                <w:szCs w:val="21"/>
                <w:highlight w:val="none"/>
              </w:rPr>
              <w:t>总投资</w:t>
            </w:r>
          </w:p>
        </w:tc>
        <w:tc>
          <w:tcPr>
            <w:tcW w:w="3140" w:type="dxa"/>
            <w:gridSpan w:val="2"/>
            <w:noWrap w:val="0"/>
            <w:vAlign w:val="center"/>
          </w:tcPr>
          <w:p w14:paraId="474D7A75">
            <w:pPr>
              <w:spacing w:line="300" w:lineRule="exact"/>
              <w:jc w:val="center"/>
              <w:rPr>
                <w:rFonts w:ascii="仿宋_GB2312" w:hAnsi="仿宋_GB2312" w:eastAsia="仿宋_GB2312" w:cs="仿宋_GB2312"/>
                <w:highlight w:val="none"/>
              </w:rPr>
            </w:pPr>
          </w:p>
        </w:tc>
        <w:tc>
          <w:tcPr>
            <w:tcW w:w="1368" w:type="dxa"/>
            <w:gridSpan w:val="2"/>
            <w:noWrap w:val="0"/>
            <w:vAlign w:val="center"/>
          </w:tcPr>
          <w:p w14:paraId="5ED863C1">
            <w:pPr>
              <w:spacing w:before="60" w:line="300" w:lineRule="exact"/>
              <w:ind w:left="255"/>
              <w:jc w:val="center"/>
              <w:rPr>
                <w:rFonts w:ascii="仿宋_GB2312" w:hAnsi="仿宋_GB2312" w:eastAsia="仿宋_GB2312" w:cs="仿宋_GB2312"/>
                <w:szCs w:val="21"/>
                <w:highlight w:val="none"/>
              </w:rPr>
            </w:pPr>
            <w:r>
              <w:rPr>
                <w:rFonts w:hint="eastAsia" w:ascii="仿宋_GB2312" w:hAnsi="仿宋_GB2312" w:eastAsia="仿宋_GB2312" w:cs="仿宋_GB2312"/>
                <w:spacing w:val="-2"/>
                <w:szCs w:val="21"/>
                <w:highlight w:val="none"/>
              </w:rPr>
              <w:t>注册资金</w:t>
            </w:r>
          </w:p>
        </w:tc>
        <w:tc>
          <w:tcPr>
            <w:tcW w:w="3408" w:type="dxa"/>
            <w:gridSpan w:val="2"/>
            <w:noWrap w:val="0"/>
            <w:vAlign w:val="center"/>
          </w:tcPr>
          <w:p w14:paraId="0AE34087">
            <w:pPr>
              <w:spacing w:line="300" w:lineRule="exact"/>
              <w:jc w:val="center"/>
              <w:rPr>
                <w:rFonts w:ascii="仿宋_GB2312" w:hAnsi="仿宋_GB2312" w:eastAsia="仿宋_GB2312" w:cs="仿宋_GB2312"/>
                <w:highlight w:val="none"/>
              </w:rPr>
            </w:pPr>
          </w:p>
        </w:tc>
      </w:tr>
      <w:tr w14:paraId="22BC4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39" w:type="dxa"/>
            <w:vMerge w:val="continue"/>
            <w:tcBorders>
              <w:top w:val="nil"/>
              <w:bottom w:val="nil"/>
            </w:tcBorders>
            <w:noWrap w:val="0"/>
            <w:textDirection w:val="tbRlV"/>
            <w:vAlign w:val="top"/>
          </w:tcPr>
          <w:p w14:paraId="588E6022">
            <w:pPr>
              <w:spacing w:line="300" w:lineRule="exact"/>
              <w:rPr>
                <w:rFonts w:ascii="仿宋_GB2312" w:hAnsi="仿宋_GB2312" w:eastAsia="仿宋_GB2312" w:cs="仿宋_GB2312"/>
                <w:highlight w:val="none"/>
              </w:rPr>
            </w:pPr>
          </w:p>
        </w:tc>
        <w:tc>
          <w:tcPr>
            <w:tcW w:w="1107" w:type="dxa"/>
            <w:noWrap w:val="0"/>
            <w:vAlign w:val="center"/>
          </w:tcPr>
          <w:p w14:paraId="77CE3888">
            <w:pPr>
              <w:spacing w:before="69" w:line="30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pacing w:val="4"/>
                <w:szCs w:val="21"/>
                <w:highlight w:val="none"/>
              </w:rPr>
              <w:t>经营范围</w:t>
            </w:r>
          </w:p>
        </w:tc>
        <w:tc>
          <w:tcPr>
            <w:tcW w:w="7916" w:type="dxa"/>
            <w:gridSpan w:val="6"/>
            <w:noWrap w:val="0"/>
            <w:vAlign w:val="center"/>
          </w:tcPr>
          <w:p w14:paraId="42855654">
            <w:pPr>
              <w:spacing w:line="300" w:lineRule="exact"/>
              <w:jc w:val="center"/>
              <w:rPr>
                <w:rFonts w:ascii="仿宋_GB2312" w:hAnsi="仿宋_GB2312" w:eastAsia="仿宋_GB2312" w:cs="仿宋_GB2312"/>
                <w:highlight w:val="none"/>
              </w:rPr>
            </w:pPr>
          </w:p>
        </w:tc>
      </w:tr>
      <w:tr w14:paraId="26639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739" w:type="dxa"/>
            <w:vMerge w:val="continue"/>
            <w:tcBorders>
              <w:top w:val="nil"/>
              <w:bottom w:val="nil"/>
            </w:tcBorders>
            <w:noWrap w:val="0"/>
            <w:textDirection w:val="tbRlV"/>
            <w:vAlign w:val="top"/>
          </w:tcPr>
          <w:p w14:paraId="23E06CA3">
            <w:pPr>
              <w:spacing w:line="300" w:lineRule="exact"/>
              <w:rPr>
                <w:rFonts w:ascii="仿宋_GB2312" w:hAnsi="仿宋_GB2312" w:eastAsia="仿宋_GB2312" w:cs="仿宋_GB2312"/>
                <w:highlight w:val="none"/>
              </w:rPr>
            </w:pPr>
          </w:p>
        </w:tc>
        <w:tc>
          <w:tcPr>
            <w:tcW w:w="1107" w:type="dxa"/>
            <w:noWrap w:val="0"/>
            <w:vAlign w:val="center"/>
          </w:tcPr>
          <w:p w14:paraId="6592E1E0">
            <w:pPr>
              <w:spacing w:before="53" w:line="300" w:lineRule="exact"/>
              <w:ind w:left="240"/>
              <w:jc w:val="center"/>
              <w:rPr>
                <w:rFonts w:ascii="仿宋_GB2312" w:hAnsi="仿宋_GB2312" w:eastAsia="仿宋_GB2312" w:cs="仿宋_GB2312"/>
                <w:szCs w:val="21"/>
                <w:highlight w:val="none"/>
              </w:rPr>
            </w:pPr>
            <w:r>
              <w:rPr>
                <w:rFonts w:hint="eastAsia" w:ascii="仿宋_GB2312" w:hAnsi="仿宋_GB2312" w:eastAsia="仿宋_GB2312" w:cs="仿宋_GB2312"/>
                <w:spacing w:val="-2"/>
                <w:szCs w:val="21"/>
                <w:highlight w:val="none"/>
              </w:rPr>
              <w:t>成长阶段</w:t>
            </w:r>
          </w:p>
        </w:tc>
        <w:tc>
          <w:tcPr>
            <w:tcW w:w="7916" w:type="dxa"/>
            <w:gridSpan w:val="6"/>
            <w:noWrap w:val="0"/>
            <w:vAlign w:val="center"/>
          </w:tcPr>
          <w:p w14:paraId="062C4DF3">
            <w:pPr>
              <w:spacing w:before="62" w:line="300" w:lineRule="exact"/>
              <w:ind w:left="1362"/>
              <w:jc w:val="center"/>
              <w:rPr>
                <w:rFonts w:ascii="仿宋_GB2312" w:hAnsi="仿宋_GB2312" w:eastAsia="仿宋_GB2312" w:cs="仿宋_GB2312"/>
                <w:szCs w:val="21"/>
                <w:highlight w:val="none"/>
              </w:rPr>
            </w:pPr>
            <w:r>
              <w:rPr>
                <w:rFonts w:hint="eastAsia" w:ascii="仿宋_GB2312" w:hAnsi="仿宋_GB2312" w:eastAsia="仿宋_GB2312" w:cs="仿宋_GB2312"/>
                <w:spacing w:val="-1"/>
                <w:sz w:val="17"/>
                <w:szCs w:val="17"/>
                <w:highlight w:val="none"/>
              </w:rPr>
              <w:t>□</w:t>
            </w:r>
            <w:r>
              <w:rPr>
                <w:rFonts w:hint="eastAsia" w:ascii="仿宋_GB2312" w:hAnsi="仿宋_GB2312" w:eastAsia="仿宋_GB2312" w:cs="仿宋_GB2312"/>
                <w:spacing w:val="4"/>
                <w:szCs w:val="21"/>
                <w:highlight w:val="none"/>
              </w:rPr>
              <w:t>初创期</w:t>
            </w:r>
            <w:r>
              <w:rPr>
                <w:rFonts w:hint="eastAsia" w:ascii="仿宋_GB2312" w:hAnsi="仿宋_GB2312" w:eastAsia="仿宋_GB2312" w:cs="仿宋_GB2312"/>
                <w:spacing w:val="3"/>
                <w:szCs w:val="21"/>
                <w:highlight w:val="none"/>
              </w:rPr>
              <w:t xml:space="preserve">            </w:t>
            </w:r>
            <w:r>
              <w:rPr>
                <w:rFonts w:hint="eastAsia" w:ascii="仿宋_GB2312" w:hAnsi="仿宋_GB2312" w:eastAsia="仿宋_GB2312" w:cs="仿宋_GB2312"/>
                <w:spacing w:val="-1"/>
                <w:sz w:val="17"/>
                <w:szCs w:val="17"/>
                <w:highlight w:val="none"/>
              </w:rPr>
              <w:t>□</w:t>
            </w:r>
            <w:r>
              <w:rPr>
                <w:rFonts w:hint="eastAsia" w:ascii="仿宋_GB2312" w:hAnsi="仿宋_GB2312" w:eastAsia="仿宋_GB2312" w:cs="仿宋_GB2312"/>
                <w:spacing w:val="4"/>
                <w:szCs w:val="21"/>
                <w:highlight w:val="none"/>
              </w:rPr>
              <w:t>成长期</w:t>
            </w:r>
            <w:r>
              <w:rPr>
                <w:rFonts w:hint="eastAsia" w:ascii="仿宋_GB2312" w:hAnsi="仿宋_GB2312" w:eastAsia="仿宋_GB2312" w:cs="仿宋_GB2312"/>
                <w:spacing w:val="10"/>
                <w:szCs w:val="21"/>
                <w:highlight w:val="none"/>
              </w:rPr>
              <w:t xml:space="preserve">          </w:t>
            </w:r>
            <w:r>
              <w:rPr>
                <w:rFonts w:hint="eastAsia" w:ascii="仿宋_GB2312" w:hAnsi="仿宋_GB2312" w:eastAsia="仿宋_GB2312" w:cs="仿宋_GB2312"/>
                <w:spacing w:val="-1"/>
                <w:sz w:val="17"/>
                <w:szCs w:val="17"/>
                <w:highlight w:val="none"/>
              </w:rPr>
              <w:t>□</w:t>
            </w:r>
            <w:r>
              <w:rPr>
                <w:rFonts w:hint="eastAsia" w:ascii="仿宋_GB2312" w:hAnsi="仿宋_GB2312" w:eastAsia="仿宋_GB2312" w:cs="仿宋_GB2312"/>
                <w:spacing w:val="4"/>
                <w:szCs w:val="21"/>
                <w:highlight w:val="none"/>
              </w:rPr>
              <w:t>成熟期</w:t>
            </w:r>
          </w:p>
        </w:tc>
      </w:tr>
      <w:tr w14:paraId="2B1C9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9" w:hRule="atLeast"/>
        </w:trPr>
        <w:tc>
          <w:tcPr>
            <w:tcW w:w="739" w:type="dxa"/>
            <w:vMerge w:val="continue"/>
            <w:tcBorders>
              <w:top w:val="nil"/>
              <w:bottom w:val="nil"/>
            </w:tcBorders>
            <w:noWrap w:val="0"/>
            <w:textDirection w:val="tbRlV"/>
            <w:vAlign w:val="top"/>
          </w:tcPr>
          <w:p w14:paraId="71A9436D">
            <w:pPr>
              <w:spacing w:line="300" w:lineRule="exact"/>
              <w:rPr>
                <w:rFonts w:ascii="仿宋_GB2312" w:hAnsi="仿宋_GB2312" w:eastAsia="仿宋_GB2312" w:cs="仿宋_GB2312"/>
                <w:highlight w:val="none"/>
              </w:rPr>
            </w:pPr>
          </w:p>
        </w:tc>
        <w:tc>
          <w:tcPr>
            <w:tcW w:w="1107" w:type="dxa"/>
            <w:tcBorders>
              <w:bottom w:val="nil"/>
            </w:tcBorders>
            <w:noWrap w:val="0"/>
            <w:vAlign w:val="top"/>
          </w:tcPr>
          <w:p w14:paraId="577DACD3">
            <w:pPr>
              <w:spacing w:line="300" w:lineRule="exact"/>
              <w:rPr>
                <w:rFonts w:ascii="仿宋_GB2312" w:hAnsi="仿宋_GB2312" w:eastAsia="仿宋_GB2312" w:cs="仿宋_GB2312"/>
                <w:highlight w:val="none"/>
              </w:rPr>
            </w:pPr>
          </w:p>
          <w:p w14:paraId="3F869AB6">
            <w:pPr>
              <w:spacing w:line="300" w:lineRule="exact"/>
              <w:rPr>
                <w:rFonts w:ascii="仿宋_GB2312" w:hAnsi="仿宋_GB2312" w:eastAsia="仿宋_GB2312" w:cs="仿宋_GB2312"/>
                <w:highlight w:val="none"/>
              </w:rPr>
            </w:pPr>
          </w:p>
          <w:p w14:paraId="671208B2">
            <w:pPr>
              <w:spacing w:line="300" w:lineRule="exact"/>
              <w:rPr>
                <w:rFonts w:ascii="仿宋_GB2312" w:hAnsi="仿宋_GB2312" w:eastAsia="仿宋_GB2312" w:cs="仿宋_GB2312"/>
                <w:highlight w:val="none"/>
              </w:rPr>
            </w:pPr>
          </w:p>
          <w:p w14:paraId="18A89F81">
            <w:pPr>
              <w:spacing w:line="300" w:lineRule="exact"/>
              <w:rPr>
                <w:rFonts w:ascii="仿宋_GB2312" w:hAnsi="仿宋_GB2312" w:eastAsia="仿宋_GB2312" w:cs="仿宋_GB2312"/>
                <w:highlight w:val="none"/>
              </w:rPr>
            </w:pPr>
          </w:p>
          <w:p w14:paraId="1E3C9684">
            <w:pPr>
              <w:spacing w:line="300" w:lineRule="exact"/>
              <w:rPr>
                <w:rFonts w:ascii="仿宋_GB2312" w:hAnsi="仿宋_GB2312" w:eastAsia="仿宋_GB2312" w:cs="仿宋_GB2312"/>
                <w:highlight w:val="none"/>
              </w:rPr>
            </w:pPr>
          </w:p>
          <w:p w14:paraId="006D5703">
            <w:pPr>
              <w:spacing w:before="69" w:line="300" w:lineRule="exact"/>
              <w:ind w:left="240"/>
              <w:rPr>
                <w:rFonts w:ascii="仿宋_GB2312" w:hAnsi="仿宋_GB2312" w:eastAsia="仿宋_GB2312" w:cs="仿宋_GB2312"/>
                <w:szCs w:val="21"/>
                <w:highlight w:val="none"/>
              </w:rPr>
            </w:pPr>
            <w:r>
              <w:rPr>
                <w:rFonts w:hint="eastAsia" w:ascii="仿宋_GB2312" w:hAnsi="仿宋_GB2312" w:eastAsia="仿宋_GB2312" w:cs="仿宋_GB2312"/>
                <w:spacing w:val="-2"/>
                <w:szCs w:val="21"/>
                <w:highlight w:val="none"/>
              </w:rPr>
              <w:t>所属行业</w:t>
            </w:r>
          </w:p>
        </w:tc>
        <w:tc>
          <w:tcPr>
            <w:tcW w:w="7916" w:type="dxa"/>
            <w:gridSpan w:val="6"/>
            <w:noWrap w:val="0"/>
            <w:vAlign w:val="top"/>
          </w:tcPr>
          <w:p w14:paraId="679494B3">
            <w:pPr>
              <w:spacing w:before="26" w:line="300" w:lineRule="exact"/>
              <w:rPr>
                <w:rFonts w:ascii="仿宋_GB2312" w:hAnsi="仿宋_GB2312" w:eastAsia="仿宋_GB2312" w:cs="仿宋_GB2312"/>
                <w:spacing w:val="-5"/>
                <w:sz w:val="17"/>
                <w:szCs w:val="17"/>
                <w:highlight w:val="none"/>
              </w:rPr>
            </w:pPr>
          </w:p>
          <w:p w14:paraId="10535C63">
            <w:pPr>
              <w:spacing w:before="62" w:line="300" w:lineRule="exact"/>
              <w:ind w:firstLine="218" w:firstLineChars="100"/>
              <w:rPr>
                <w:rFonts w:hint="eastAsia" w:ascii="仿宋_GB2312" w:hAnsi="仿宋_GB2312" w:eastAsia="仿宋_GB2312" w:cs="仿宋_GB2312"/>
                <w:spacing w:val="4"/>
                <w:szCs w:val="21"/>
                <w:highlight w:val="none"/>
              </w:rPr>
            </w:pPr>
            <w:r>
              <w:rPr>
                <w:rFonts w:hint="eastAsia" w:ascii="仿宋_GB2312" w:hAnsi="仿宋_GB2312" w:eastAsia="仿宋_GB2312" w:cs="仿宋_GB2312"/>
                <w:spacing w:val="4"/>
                <w:szCs w:val="21"/>
                <w:highlight w:val="none"/>
              </w:rPr>
              <w:sym w:font="Wingdings 2" w:char="00A3"/>
            </w:r>
            <w:r>
              <w:rPr>
                <w:rFonts w:hint="eastAsia" w:ascii="仿宋_GB2312" w:hAnsi="仿宋_GB2312" w:eastAsia="仿宋_GB2312" w:cs="仿宋_GB2312"/>
                <w:spacing w:val="4"/>
                <w:szCs w:val="21"/>
                <w:highlight w:val="none"/>
              </w:rPr>
              <w:t>A类：在旗内设立市级以上科研机构或承担国家、自治区、市级重大科研专项的团队或企业；</w:t>
            </w:r>
          </w:p>
          <w:p w14:paraId="2AB5DF06">
            <w:pPr>
              <w:spacing w:before="62" w:line="300" w:lineRule="exact"/>
              <w:ind w:firstLine="218" w:firstLineChars="100"/>
              <w:rPr>
                <w:rFonts w:ascii="仿宋_GB2312" w:hAnsi="仿宋_GB2312" w:eastAsia="仿宋_GB2312" w:cs="仿宋_GB2312"/>
                <w:spacing w:val="4"/>
                <w:szCs w:val="21"/>
                <w:highlight w:val="none"/>
              </w:rPr>
            </w:pPr>
            <w:r>
              <w:rPr>
                <w:rFonts w:hint="eastAsia" w:ascii="仿宋_GB2312" w:hAnsi="仿宋_GB2312" w:eastAsia="仿宋_GB2312" w:cs="仿宋_GB2312"/>
                <w:spacing w:val="4"/>
                <w:szCs w:val="21"/>
                <w:highlight w:val="none"/>
              </w:rPr>
              <w:sym w:font="Wingdings 2" w:char="00A3"/>
            </w:r>
            <w:r>
              <w:rPr>
                <w:rFonts w:hint="eastAsia" w:ascii="仿宋_GB2312" w:hAnsi="仿宋_GB2312" w:eastAsia="仿宋_GB2312" w:cs="仿宋_GB2312"/>
                <w:spacing w:val="4"/>
                <w:szCs w:val="21"/>
                <w:highlight w:val="none"/>
              </w:rPr>
              <w:t>B类：获自治区级以上制造业单项冠军、专精特新 “小巨人”、隐形冠军等称号的企业；</w:t>
            </w:r>
          </w:p>
          <w:p w14:paraId="5F109ACF">
            <w:pPr>
              <w:spacing w:before="62" w:line="300" w:lineRule="exact"/>
              <w:ind w:firstLine="218" w:firstLineChars="100"/>
              <w:rPr>
                <w:rFonts w:hint="eastAsia" w:ascii="仿宋_GB2312" w:hAnsi="仿宋_GB2312" w:eastAsia="仿宋_GB2312" w:cs="仿宋_GB2312"/>
                <w:spacing w:val="4"/>
                <w:szCs w:val="21"/>
                <w:highlight w:val="none"/>
                <w:lang w:val="en-US" w:eastAsia="zh-CN"/>
              </w:rPr>
            </w:pPr>
            <w:r>
              <w:rPr>
                <w:rFonts w:hint="eastAsia" w:ascii="仿宋_GB2312" w:hAnsi="仿宋_GB2312" w:eastAsia="仿宋_GB2312" w:cs="仿宋_GB2312"/>
                <w:spacing w:val="4"/>
                <w:szCs w:val="21"/>
                <w:highlight w:val="none"/>
              </w:rPr>
              <w:sym w:font="Wingdings 2" w:char="00A3"/>
            </w:r>
            <w:r>
              <w:rPr>
                <w:rFonts w:hint="eastAsia" w:ascii="仿宋_GB2312" w:hAnsi="仿宋_GB2312" w:eastAsia="仿宋_GB2312" w:cs="仿宋_GB2312"/>
                <w:spacing w:val="4"/>
                <w:szCs w:val="21"/>
                <w:highlight w:val="none"/>
              </w:rPr>
              <w:t>C类：投产满 2 年，在产业链延链补链、配套园区发展中具有重大意义且有税收潜力的企业</w:t>
            </w:r>
            <w:r>
              <w:rPr>
                <w:rFonts w:hint="eastAsia" w:ascii="仿宋_GB2312" w:hAnsi="仿宋_GB2312" w:eastAsia="仿宋_GB2312" w:cs="仿宋_GB2312"/>
                <w:spacing w:val="4"/>
                <w:szCs w:val="21"/>
                <w:highlight w:val="none"/>
                <w:lang w:eastAsia="zh-CN"/>
              </w:rPr>
              <w:t>；</w:t>
            </w:r>
          </w:p>
          <w:p w14:paraId="6DAF64D9">
            <w:pPr>
              <w:spacing w:before="62" w:line="300" w:lineRule="exact"/>
              <w:ind w:firstLine="218" w:firstLineChars="100"/>
              <w:rPr>
                <w:rFonts w:hint="eastAsia" w:ascii="仿宋_GB2312" w:hAnsi="仿宋_GB2312" w:eastAsia="仿宋_GB2312" w:cs="仿宋_GB2312"/>
                <w:spacing w:val="4"/>
                <w:szCs w:val="21"/>
                <w:highlight w:val="none"/>
                <w:lang w:eastAsia="zh-CN"/>
              </w:rPr>
            </w:pPr>
            <w:r>
              <w:rPr>
                <w:rFonts w:hint="eastAsia" w:ascii="仿宋_GB2312" w:hAnsi="仿宋_GB2312" w:eastAsia="仿宋_GB2312" w:cs="仿宋_GB2312"/>
                <w:spacing w:val="4"/>
                <w:szCs w:val="21"/>
                <w:highlight w:val="none"/>
              </w:rPr>
              <w:sym w:font="Wingdings 2" w:char="00A3"/>
            </w:r>
            <w:r>
              <w:rPr>
                <w:rFonts w:hint="eastAsia" w:ascii="仿宋_GB2312" w:hAnsi="仿宋_GB2312" w:eastAsia="仿宋_GB2312" w:cs="仿宋_GB2312"/>
                <w:spacing w:val="4"/>
                <w:szCs w:val="21"/>
                <w:highlight w:val="none"/>
              </w:rPr>
              <w:t>D类：院士或入选国家重点人才计划的高层次人才带项目入驻</w:t>
            </w:r>
            <w:r>
              <w:rPr>
                <w:rFonts w:hint="eastAsia" w:ascii="仿宋_GB2312" w:hAnsi="仿宋_GB2312" w:eastAsia="仿宋_GB2312" w:cs="仿宋_GB2312"/>
                <w:spacing w:val="4"/>
                <w:szCs w:val="21"/>
                <w:highlight w:val="none"/>
                <w:lang w:eastAsia="zh-CN"/>
              </w:rPr>
              <w:t>；</w:t>
            </w:r>
          </w:p>
          <w:p w14:paraId="69B743D5">
            <w:pPr>
              <w:spacing w:before="62" w:line="300" w:lineRule="exact"/>
              <w:ind w:firstLine="218" w:firstLineChars="100"/>
              <w:rPr>
                <w:rFonts w:ascii="仿宋_GB2312" w:hAnsi="仿宋_GB2312" w:eastAsia="仿宋_GB2312" w:cs="仿宋_GB2312"/>
                <w:sz w:val="17"/>
                <w:szCs w:val="17"/>
                <w:highlight w:val="none"/>
              </w:rPr>
            </w:pPr>
            <w:r>
              <w:rPr>
                <w:rFonts w:hint="eastAsia" w:ascii="仿宋_GB2312" w:hAnsi="仿宋_GB2312" w:eastAsia="仿宋_GB2312" w:cs="仿宋_GB2312"/>
                <w:spacing w:val="4"/>
                <w:szCs w:val="21"/>
                <w:highlight w:val="none"/>
              </w:rPr>
              <w:sym w:font="Wingdings 2" w:char="00A3"/>
            </w:r>
            <w:r>
              <w:rPr>
                <w:rFonts w:hint="eastAsia" w:ascii="仿宋_GB2312" w:hAnsi="仿宋_GB2312" w:eastAsia="仿宋_GB2312" w:cs="仿宋_GB2312"/>
                <w:spacing w:val="4"/>
                <w:szCs w:val="21"/>
                <w:highlight w:val="none"/>
                <w:lang w:val="en-US" w:eastAsia="zh-CN"/>
              </w:rPr>
              <w:t>E</w:t>
            </w:r>
            <w:r>
              <w:rPr>
                <w:rFonts w:hint="eastAsia" w:ascii="仿宋_GB2312" w:hAnsi="仿宋_GB2312" w:eastAsia="仿宋_GB2312" w:cs="仿宋_GB2312"/>
                <w:spacing w:val="4"/>
                <w:szCs w:val="21"/>
                <w:highlight w:val="none"/>
              </w:rPr>
              <w:t>类：已与旗人民政府签订战略投资协议，但尚未在本地注册开工的企业，可申请暂住加速部落，暂住期限不超过 6 个月；待项目注册开工后按本条第（一）（二）款规定申请办理正式入驻手续。</w:t>
            </w:r>
          </w:p>
        </w:tc>
      </w:tr>
      <w:tr w14:paraId="2C964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739" w:type="dxa"/>
            <w:vMerge w:val="continue"/>
            <w:tcBorders>
              <w:top w:val="nil"/>
              <w:bottom w:val="nil"/>
            </w:tcBorders>
            <w:noWrap w:val="0"/>
            <w:textDirection w:val="tbRlV"/>
            <w:vAlign w:val="top"/>
          </w:tcPr>
          <w:p w14:paraId="37078D68">
            <w:pPr>
              <w:spacing w:line="300" w:lineRule="exact"/>
              <w:rPr>
                <w:rFonts w:ascii="仿宋_GB2312" w:hAnsi="仿宋_GB2312" w:eastAsia="仿宋_GB2312" w:cs="仿宋_GB2312"/>
                <w:highlight w:val="none"/>
              </w:rPr>
            </w:pPr>
          </w:p>
        </w:tc>
        <w:tc>
          <w:tcPr>
            <w:tcW w:w="1107" w:type="dxa"/>
            <w:noWrap w:val="0"/>
            <w:vAlign w:val="top"/>
          </w:tcPr>
          <w:p w14:paraId="080EAF98">
            <w:pPr>
              <w:spacing w:line="300" w:lineRule="exact"/>
              <w:rPr>
                <w:rFonts w:ascii="仿宋_GB2312" w:hAnsi="仿宋_GB2312" w:eastAsia="仿宋_GB2312" w:cs="仿宋_GB2312"/>
                <w:highlight w:val="none"/>
              </w:rPr>
            </w:pPr>
          </w:p>
        </w:tc>
        <w:tc>
          <w:tcPr>
            <w:tcW w:w="2151" w:type="dxa"/>
            <w:noWrap w:val="0"/>
            <w:vAlign w:val="top"/>
          </w:tcPr>
          <w:p w14:paraId="53068337">
            <w:pPr>
              <w:spacing w:before="54" w:line="300" w:lineRule="exact"/>
              <w:ind w:left="622"/>
              <w:rPr>
                <w:rFonts w:ascii="仿宋_GB2312" w:hAnsi="仿宋_GB2312" w:eastAsia="仿宋_GB2312" w:cs="仿宋_GB2312"/>
                <w:szCs w:val="21"/>
                <w:highlight w:val="none"/>
              </w:rPr>
            </w:pPr>
            <w:r>
              <w:rPr>
                <w:rFonts w:hint="eastAsia" w:ascii="仿宋_GB2312" w:hAnsi="仿宋_GB2312" w:eastAsia="仿宋_GB2312" w:cs="仿宋_GB2312"/>
                <w:spacing w:val="13"/>
                <w:szCs w:val="21"/>
                <w:highlight w:val="none"/>
              </w:rPr>
              <w:t>姓名</w:t>
            </w:r>
          </w:p>
        </w:tc>
        <w:tc>
          <w:tcPr>
            <w:tcW w:w="1678" w:type="dxa"/>
            <w:gridSpan w:val="2"/>
            <w:noWrap w:val="0"/>
            <w:vAlign w:val="top"/>
          </w:tcPr>
          <w:p w14:paraId="3177ACA2">
            <w:pPr>
              <w:spacing w:before="56" w:line="300" w:lineRule="exact"/>
              <w:ind w:left="414"/>
              <w:rPr>
                <w:rFonts w:ascii="仿宋_GB2312" w:hAnsi="仿宋_GB2312" w:eastAsia="仿宋_GB2312" w:cs="仿宋_GB2312"/>
                <w:szCs w:val="21"/>
                <w:highlight w:val="none"/>
              </w:rPr>
            </w:pPr>
            <w:r>
              <w:rPr>
                <w:rFonts w:hint="eastAsia" w:ascii="仿宋_GB2312" w:hAnsi="仿宋_GB2312" w:eastAsia="仿宋_GB2312" w:cs="仿宋_GB2312"/>
                <w:spacing w:val="2"/>
                <w:szCs w:val="21"/>
                <w:highlight w:val="none"/>
              </w:rPr>
              <w:t>学历学位</w:t>
            </w:r>
          </w:p>
        </w:tc>
        <w:tc>
          <w:tcPr>
            <w:tcW w:w="1698" w:type="dxa"/>
            <w:gridSpan w:val="2"/>
            <w:noWrap w:val="0"/>
            <w:vAlign w:val="top"/>
          </w:tcPr>
          <w:p w14:paraId="56D2E78B">
            <w:pPr>
              <w:spacing w:before="54" w:line="300" w:lineRule="exact"/>
              <w:ind w:left="426"/>
              <w:rPr>
                <w:rFonts w:ascii="仿宋_GB2312" w:hAnsi="仿宋_GB2312" w:eastAsia="仿宋_GB2312" w:cs="仿宋_GB2312"/>
                <w:szCs w:val="21"/>
                <w:highlight w:val="none"/>
              </w:rPr>
            </w:pPr>
            <w:r>
              <w:rPr>
                <w:rFonts w:hint="eastAsia" w:ascii="仿宋_GB2312" w:hAnsi="仿宋_GB2312" w:eastAsia="仿宋_GB2312" w:cs="仿宋_GB2312"/>
                <w:spacing w:val="2"/>
                <w:szCs w:val="21"/>
                <w:highlight w:val="none"/>
              </w:rPr>
              <w:t>毕业院校</w:t>
            </w:r>
          </w:p>
        </w:tc>
        <w:tc>
          <w:tcPr>
            <w:tcW w:w="2389" w:type="dxa"/>
            <w:noWrap w:val="0"/>
            <w:vAlign w:val="top"/>
          </w:tcPr>
          <w:p w14:paraId="6EDA7B07">
            <w:pPr>
              <w:spacing w:before="56" w:line="300" w:lineRule="exact"/>
              <w:ind w:left="418"/>
              <w:rPr>
                <w:rFonts w:ascii="仿宋_GB2312" w:hAnsi="仿宋_GB2312" w:eastAsia="仿宋_GB2312" w:cs="仿宋_GB2312"/>
                <w:szCs w:val="21"/>
                <w:highlight w:val="none"/>
              </w:rPr>
            </w:pPr>
            <w:r>
              <w:rPr>
                <w:rFonts w:hint="eastAsia" w:ascii="仿宋_GB2312" w:hAnsi="仿宋_GB2312" w:eastAsia="仿宋_GB2312" w:cs="仿宋_GB2312"/>
                <w:spacing w:val="-2"/>
                <w:szCs w:val="21"/>
                <w:highlight w:val="none"/>
              </w:rPr>
              <w:t>联系方式</w:t>
            </w:r>
          </w:p>
        </w:tc>
      </w:tr>
      <w:tr w14:paraId="45749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739" w:type="dxa"/>
            <w:vMerge w:val="continue"/>
            <w:tcBorders>
              <w:top w:val="nil"/>
              <w:bottom w:val="nil"/>
            </w:tcBorders>
            <w:noWrap w:val="0"/>
            <w:textDirection w:val="tbRlV"/>
            <w:vAlign w:val="top"/>
          </w:tcPr>
          <w:p w14:paraId="489FB4A5">
            <w:pPr>
              <w:spacing w:line="300" w:lineRule="exact"/>
              <w:rPr>
                <w:rFonts w:ascii="仿宋_GB2312" w:hAnsi="仿宋_GB2312" w:eastAsia="仿宋_GB2312" w:cs="仿宋_GB2312"/>
                <w:highlight w:val="none"/>
              </w:rPr>
            </w:pPr>
          </w:p>
        </w:tc>
        <w:tc>
          <w:tcPr>
            <w:tcW w:w="1107" w:type="dxa"/>
            <w:noWrap w:val="0"/>
            <w:vAlign w:val="top"/>
          </w:tcPr>
          <w:p w14:paraId="05A42CD2">
            <w:pPr>
              <w:spacing w:before="64" w:line="300" w:lineRule="exact"/>
              <w:ind w:left="240"/>
              <w:rPr>
                <w:rFonts w:ascii="仿宋_GB2312" w:hAnsi="仿宋_GB2312" w:eastAsia="仿宋_GB2312" w:cs="仿宋_GB2312"/>
                <w:szCs w:val="21"/>
                <w:highlight w:val="none"/>
              </w:rPr>
            </w:pPr>
            <w:r>
              <w:rPr>
                <w:rFonts w:hint="eastAsia" w:ascii="仿宋_GB2312" w:hAnsi="仿宋_GB2312" w:eastAsia="仿宋_GB2312" w:cs="仿宋_GB2312"/>
                <w:spacing w:val="-2"/>
                <w:szCs w:val="21"/>
                <w:highlight w:val="none"/>
              </w:rPr>
              <w:t>法人代表</w:t>
            </w:r>
          </w:p>
        </w:tc>
        <w:tc>
          <w:tcPr>
            <w:tcW w:w="2151" w:type="dxa"/>
            <w:noWrap w:val="0"/>
            <w:vAlign w:val="top"/>
          </w:tcPr>
          <w:p w14:paraId="5244A38E">
            <w:pPr>
              <w:spacing w:line="300" w:lineRule="exact"/>
              <w:rPr>
                <w:rFonts w:ascii="仿宋_GB2312" w:hAnsi="仿宋_GB2312" w:eastAsia="仿宋_GB2312" w:cs="仿宋_GB2312"/>
                <w:highlight w:val="none"/>
              </w:rPr>
            </w:pPr>
          </w:p>
        </w:tc>
        <w:tc>
          <w:tcPr>
            <w:tcW w:w="1678" w:type="dxa"/>
            <w:gridSpan w:val="2"/>
            <w:noWrap w:val="0"/>
            <w:vAlign w:val="top"/>
          </w:tcPr>
          <w:p w14:paraId="74351317">
            <w:pPr>
              <w:spacing w:line="300" w:lineRule="exact"/>
              <w:rPr>
                <w:rFonts w:ascii="仿宋_GB2312" w:hAnsi="仿宋_GB2312" w:eastAsia="仿宋_GB2312" w:cs="仿宋_GB2312"/>
                <w:highlight w:val="none"/>
              </w:rPr>
            </w:pPr>
          </w:p>
        </w:tc>
        <w:tc>
          <w:tcPr>
            <w:tcW w:w="1698" w:type="dxa"/>
            <w:gridSpan w:val="2"/>
            <w:noWrap w:val="0"/>
            <w:vAlign w:val="top"/>
          </w:tcPr>
          <w:p w14:paraId="23EE2AF0">
            <w:pPr>
              <w:spacing w:line="300" w:lineRule="exact"/>
              <w:rPr>
                <w:rFonts w:ascii="仿宋_GB2312" w:hAnsi="仿宋_GB2312" w:eastAsia="仿宋_GB2312" w:cs="仿宋_GB2312"/>
                <w:highlight w:val="none"/>
              </w:rPr>
            </w:pPr>
          </w:p>
        </w:tc>
        <w:tc>
          <w:tcPr>
            <w:tcW w:w="2389" w:type="dxa"/>
            <w:noWrap w:val="0"/>
            <w:vAlign w:val="top"/>
          </w:tcPr>
          <w:p w14:paraId="6A51BBB8">
            <w:pPr>
              <w:spacing w:line="300" w:lineRule="exact"/>
              <w:rPr>
                <w:rFonts w:ascii="仿宋_GB2312" w:hAnsi="仿宋_GB2312" w:eastAsia="仿宋_GB2312" w:cs="仿宋_GB2312"/>
                <w:highlight w:val="none"/>
              </w:rPr>
            </w:pPr>
          </w:p>
        </w:tc>
      </w:tr>
      <w:tr w14:paraId="2E12D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739" w:type="dxa"/>
            <w:vMerge w:val="continue"/>
            <w:tcBorders>
              <w:top w:val="nil"/>
              <w:bottom w:val="nil"/>
            </w:tcBorders>
            <w:noWrap w:val="0"/>
            <w:textDirection w:val="tbRlV"/>
            <w:vAlign w:val="top"/>
          </w:tcPr>
          <w:p w14:paraId="7AA62E82">
            <w:pPr>
              <w:spacing w:line="300" w:lineRule="exact"/>
              <w:rPr>
                <w:rFonts w:ascii="仿宋_GB2312" w:hAnsi="仿宋_GB2312" w:eastAsia="仿宋_GB2312" w:cs="仿宋_GB2312"/>
                <w:highlight w:val="none"/>
              </w:rPr>
            </w:pPr>
          </w:p>
        </w:tc>
        <w:tc>
          <w:tcPr>
            <w:tcW w:w="1107" w:type="dxa"/>
            <w:noWrap w:val="0"/>
            <w:vAlign w:val="top"/>
          </w:tcPr>
          <w:p w14:paraId="4BE1F250">
            <w:pPr>
              <w:spacing w:before="64" w:line="300" w:lineRule="exact"/>
              <w:ind w:left="340"/>
              <w:rPr>
                <w:rFonts w:ascii="仿宋_GB2312" w:hAnsi="仿宋_GB2312" w:eastAsia="仿宋_GB2312" w:cs="仿宋_GB2312"/>
                <w:szCs w:val="21"/>
                <w:highlight w:val="none"/>
              </w:rPr>
            </w:pPr>
            <w:r>
              <w:rPr>
                <w:rFonts w:hint="eastAsia" w:ascii="仿宋_GB2312" w:hAnsi="仿宋_GB2312" w:eastAsia="仿宋_GB2312" w:cs="仿宋_GB2312"/>
                <w:spacing w:val="2"/>
                <w:szCs w:val="21"/>
                <w:highlight w:val="none"/>
              </w:rPr>
              <w:t>总经理</w:t>
            </w:r>
          </w:p>
        </w:tc>
        <w:tc>
          <w:tcPr>
            <w:tcW w:w="2151" w:type="dxa"/>
            <w:noWrap w:val="0"/>
            <w:vAlign w:val="top"/>
          </w:tcPr>
          <w:p w14:paraId="6E0377A2">
            <w:pPr>
              <w:spacing w:line="300" w:lineRule="exact"/>
              <w:rPr>
                <w:rFonts w:ascii="仿宋_GB2312" w:hAnsi="仿宋_GB2312" w:eastAsia="仿宋_GB2312" w:cs="仿宋_GB2312"/>
                <w:highlight w:val="none"/>
              </w:rPr>
            </w:pPr>
          </w:p>
        </w:tc>
        <w:tc>
          <w:tcPr>
            <w:tcW w:w="1678" w:type="dxa"/>
            <w:gridSpan w:val="2"/>
            <w:noWrap w:val="0"/>
            <w:vAlign w:val="top"/>
          </w:tcPr>
          <w:p w14:paraId="360B2DCC">
            <w:pPr>
              <w:spacing w:line="300" w:lineRule="exact"/>
              <w:rPr>
                <w:rFonts w:ascii="仿宋_GB2312" w:hAnsi="仿宋_GB2312" w:eastAsia="仿宋_GB2312" w:cs="仿宋_GB2312"/>
                <w:highlight w:val="none"/>
              </w:rPr>
            </w:pPr>
          </w:p>
        </w:tc>
        <w:tc>
          <w:tcPr>
            <w:tcW w:w="1698" w:type="dxa"/>
            <w:gridSpan w:val="2"/>
            <w:noWrap w:val="0"/>
            <w:vAlign w:val="top"/>
          </w:tcPr>
          <w:p w14:paraId="7B31C396">
            <w:pPr>
              <w:spacing w:line="300" w:lineRule="exact"/>
              <w:rPr>
                <w:rFonts w:ascii="仿宋_GB2312" w:hAnsi="仿宋_GB2312" w:eastAsia="仿宋_GB2312" w:cs="仿宋_GB2312"/>
                <w:highlight w:val="none"/>
              </w:rPr>
            </w:pPr>
          </w:p>
        </w:tc>
        <w:tc>
          <w:tcPr>
            <w:tcW w:w="2389" w:type="dxa"/>
            <w:noWrap w:val="0"/>
            <w:vAlign w:val="top"/>
          </w:tcPr>
          <w:p w14:paraId="59B63A90">
            <w:pPr>
              <w:spacing w:line="300" w:lineRule="exact"/>
              <w:rPr>
                <w:rFonts w:ascii="仿宋_GB2312" w:hAnsi="仿宋_GB2312" w:eastAsia="仿宋_GB2312" w:cs="仿宋_GB2312"/>
                <w:highlight w:val="none"/>
              </w:rPr>
            </w:pPr>
          </w:p>
        </w:tc>
      </w:tr>
      <w:tr w14:paraId="7A21A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739" w:type="dxa"/>
            <w:vMerge w:val="continue"/>
            <w:tcBorders>
              <w:top w:val="nil"/>
            </w:tcBorders>
            <w:noWrap w:val="0"/>
            <w:textDirection w:val="tbRlV"/>
            <w:vAlign w:val="top"/>
          </w:tcPr>
          <w:p w14:paraId="152531CD">
            <w:pPr>
              <w:spacing w:line="300" w:lineRule="exact"/>
              <w:rPr>
                <w:rFonts w:ascii="仿宋_GB2312" w:hAnsi="仿宋_GB2312" w:eastAsia="仿宋_GB2312" w:cs="仿宋_GB2312"/>
                <w:highlight w:val="none"/>
              </w:rPr>
            </w:pPr>
          </w:p>
        </w:tc>
        <w:tc>
          <w:tcPr>
            <w:tcW w:w="1107" w:type="dxa"/>
            <w:noWrap w:val="0"/>
            <w:vAlign w:val="top"/>
          </w:tcPr>
          <w:p w14:paraId="501B3583">
            <w:pPr>
              <w:spacing w:before="68" w:line="300" w:lineRule="exact"/>
              <w:ind w:left="340"/>
              <w:rPr>
                <w:rFonts w:ascii="仿宋_GB2312" w:hAnsi="仿宋_GB2312" w:eastAsia="仿宋_GB2312" w:cs="仿宋_GB2312"/>
                <w:szCs w:val="21"/>
                <w:highlight w:val="none"/>
              </w:rPr>
            </w:pPr>
            <w:r>
              <w:rPr>
                <w:rFonts w:hint="eastAsia" w:ascii="仿宋_GB2312" w:hAnsi="仿宋_GB2312" w:eastAsia="仿宋_GB2312" w:cs="仿宋_GB2312"/>
                <w:spacing w:val="-3"/>
                <w:szCs w:val="21"/>
                <w:highlight w:val="none"/>
              </w:rPr>
              <w:t>联系人</w:t>
            </w:r>
          </w:p>
        </w:tc>
        <w:tc>
          <w:tcPr>
            <w:tcW w:w="2151" w:type="dxa"/>
            <w:noWrap w:val="0"/>
            <w:vAlign w:val="top"/>
          </w:tcPr>
          <w:p w14:paraId="185C7CEC">
            <w:pPr>
              <w:spacing w:line="300" w:lineRule="exact"/>
              <w:rPr>
                <w:rFonts w:ascii="仿宋_GB2312" w:hAnsi="仿宋_GB2312" w:eastAsia="仿宋_GB2312" w:cs="仿宋_GB2312"/>
                <w:highlight w:val="none"/>
              </w:rPr>
            </w:pPr>
          </w:p>
        </w:tc>
        <w:tc>
          <w:tcPr>
            <w:tcW w:w="1678" w:type="dxa"/>
            <w:gridSpan w:val="2"/>
            <w:noWrap w:val="0"/>
            <w:vAlign w:val="top"/>
          </w:tcPr>
          <w:p w14:paraId="7630EA60">
            <w:pPr>
              <w:spacing w:line="300" w:lineRule="exact"/>
              <w:rPr>
                <w:rFonts w:ascii="仿宋_GB2312" w:hAnsi="仿宋_GB2312" w:eastAsia="仿宋_GB2312" w:cs="仿宋_GB2312"/>
                <w:highlight w:val="none"/>
              </w:rPr>
            </w:pPr>
          </w:p>
        </w:tc>
        <w:tc>
          <w:tcPr>
            <w:tcW w:w="1698" w:type="dxa"/>
            <w:gridSpan w:val="2"/>
            <w:noWrap w:val="0"/>
            <w:vAlign w:val="top"/>
          </w:tcPr>
          <w:p w14:paraId="6CAD04C9">
            <w:pPr>
              <w:spacing w:line="300" w:lineRule="exact"/>
              <w:rPr>
                <w:rFonts w:ascii="仿宋_GB2312" w:hAnsi="仿宋_GB2312" w:eastAsia="仿宋_GB2312" w:cs="仿宋_GB2312"/>
                <w:highlight w:val="none"/>
              </w:rPr>
            </w:pPr>
          </w:p>
        </w:tc>
        <w:tc>
          <w:tcPr>
            <w:tcW w:w="2389" w:type="dxa"/>
            <w:noWrap w:val="0"/>
            <w:vAlign w:val="top"/>
          </w:tcPr>
          <w:p w14:paraId="16099D0B">
            <w:pPr>
              <w:spacing w:line="300" w:lineRule="exact"/>
              <w:rPr>
                <w:rFonts w:ascii="仿宋_GB2312" w:hAnsi="仿宋_GB2312" w:eastAsia="仿宋_GB2312" w:cs="仿宋_GB2312"/>
                <w:highlight w:val="none"/>
              </w:rPr>
            </w:pPr>
          </w:p>
        </w:tc>
      </w:tr>
      <w:tr w14:paraId="0C320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6" w:hRule="atLeast"/>
        </w:trPr>
        <w:tc>
          <w:tcPr>
            <w:tcW w:w="739" w:type="dxa"/>
            <w:noWrap w:val="0"/>
            <w:textDirection w:val="tbRlV"/>
            <w:vAlign w:val="top"/>
          </w:tcPr>
          <w:p w14:paraId="2FD1F81C">
            <w:pPr>
              <w:spacing w:before="239" w:line="30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pacing w:val="-2"/>
                <w:szCs w:val="21"/>
                <w:highlight w:val="none"/>
              </w:rPr>
              <w:t>项目概况</w:t>
            </w:r>
          </w:p>
        </w:tc>
        <w:tc>
          <w:tcPr>
            <w:tcW w:w="9023" w:type="dxa"/>
            <w:gridSpan w:val="7"/>
            <w:noWrap w:val="0"/>
            <w:vAlign w:val="top"/>
          </w:tcPr>
          <w:p w14:paraId="1EDCF1CB">
            <w:pPr>
              <w:spacing w:before="64" w:line="300" w:lineRule="exact"/>
              <w:ind w:left="60"/>
              <w:rPr>
                <w:rFonts w:ascii="仿宋_GB2312" w:hAnsi="仿宋_GB2312" w:eastAsia="仿宋_GB2312" w:cs="仿宋_GB2312"/>
                <w:spacing w:val="5"/>
                <w:sz w:val="20"/>
                <w:szCs w:val="20"/>
                <w:highlight w:val="none"/>
              </w:rPr>
            </w:pPr>
          </w:p>
          <w:p w14:paraId="49B30BC3">
            <w:pPr>
              <w:spacing w:before="64" w:line="300" w:lineRule="exact"/>
              <w:ind w:left="60"/>
              <w:rPr>
                <w:rFonts w:ascii="仿宋_GB2312" w:hAnsi="仿宋_GB2312" w:eastAsia="仿宋_GB2312" w:cs="仿宋_GB2312"/>
                <w:sz w:val="20"/>
                <w:szCs w:val="20"/>
                <w:highlight w:val="none"/>
              </w:rPr>
            </w:pPr>
            <w:r>
              <w:rPr>
                <w:rFonts w:hint="eastAsia" w:ascii="仿宋_GB2312" w:hAnsi="仿宋_GB2312" w:eastAsia="仿宋_GB2312" w:cs="仿宋_GB2312"/>
                <w:spacing w:val="5"/>
                <w:sz w:val="20"/>
                <w:szCs w:val="20"/>
                <w:highlight w:val="none"/>
              </w:rPr>
              <w:t xml:space="preserve">主要产品(服务)、技术先进性可行性、项目研发进展和知识产权情况、所在细分领域行业 </w:t>
            </w:r>
            <w:r>
              <w:rPr>
                <w:rFonts w:hint="eastAsia" w:ascii="仿宋_GB2312" w:hAnsi="仿宋_GB2312" w:eastAsia="仿宋_GB2312" w:cs="仿宋_GB2312"/>
                <w:spacing w:val="3"/>
                <w:sz w:val="20"/>
                <w:szCs w:val="20"/>
                <w:highlight w:val="none"/>
              </w:rPr>
              <w:t>竞争情况、盈利模式、近三年销售和盈利预测等。(如有重要合作单位，请列出合</w:t>
            </w:r>
            <w:r>
              <w:rPr>
                <w:rFonts w:hint="eastAsia" w:ascii="仿宋_GB2312" w:hAnsi="仿宋_GB2312" w:eastAsia="仿宋_GB2312" w:cs="仿宋_GB2312"/>
                <w:spacing w:val="2"/>
                <w:sz w:val="20"/>
                <w:szCs w:val="20"/>
                <w:highlight w:val="none"/>
              </w:rPr>
              <w:t>作内容和</w:t>
            </w:r>
            <w:r>
              <w:rPr>
                <w:rFonts w:hint="eastAsia" w:ascii="仿宋_GB2312" w:hAnsi="仿宋_GB2312" w:eastAsia="仿宋_GB2312" w:cs="仿宋_GB2312"/>
                <w:sz w:val="20"/>
                <w:szCs w:val="20"/>
                <w:highlight w:val="none"/>
              </w:rPr>
              <w:t xml:space="preserve"> </w:t>
            </w:r>
            <w:r>
              <w:rPr>
                <w:rFonts w:hint="eastAsia" w:ascii="仿宋_GB2312" w:hAnsi="仿宋_GB2312" w:eastAsia="仿宋_GB2312" w:cs="仿宋_GB2312"/>
                <w:spacing w:val="15"/>
                <w:sz w:val="20"/>
                <w:szCs w:val="20"/>
                <w:highlight w:val="none"/>
              </w:rPr>
              <w:t>单位名称。)</w:t>
            </w:r>
          </w:p>
        </w:tc>
      </w:tr>
      <w:tr w14:paraId="5B2F8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7" w:hRule="atLeast"/>
        </w:trPr>
        <w:tc>
          <w:tcPr>
            <w:tcW w:w="739" w:type="dxa"/>
            <w:noWrap w:val="0"/>
            <w:textDirection w:val="tbRlV"/>
            <w:vAlign w:val="top"/>
          </w:tcPr>
          <w:p w14:paraId="25EA07A9">
            <w:pPr>
              <w:spacing w:before="238" w:line="300" w:lineRule="exact"/>
              <w:ind w:left="497"/>
              <w:rPr>
                <w:rFonts w:ascii="仿宋_GB2312" w:hAnsi="仿宋_GB2312" w:eastAsia="仿宋_GB2312" w:cs="仿宋_GB2312"/>
                <w:szCs w:val="21"/>
                <w:highlight w:val="none"/>
              </w:rPr>
            </w:pPr>
            <w:r>
              <w:rPr>
                <w:rFonts w:hint="eastAsia" w:ascii="仿宋_GB2312" w:hAnsi="仿宋_GB2312" w:eastAsia="仿宋_GB2312" w:cs="仿宋_GB2312"/>
                <w:spacing w:val="-5"/>
                <w:szCs w:val="21"/>
                <w:highlight w:val="none"/>
              </w:rPr>
              <w:t>团队情况</w:t>
            </w:r>
          </w:p>
        </w:tc>
        <w:tc>
          <w:tcPr>
            <w:tcW w:w="9023" w:type="dxa"/>
            <w:gridSpan w:val="7"/>
            <w:noWrap w:val="0"/>
            <w:vAlign w:val="top"/>
          </w:tcPr>
          <w:p w14:paraId="459D9564">
            <w:pPr>
              <w:spacing w:before="86" w:line="300" w:lineRule="exact"/>
              <w:ind w:left="60"/>
              <w:rPr>
                <w:rFonts w:ascii="仿宋_GB2312" w:hAnsi="仿宋_GB2312" w:eastAsia="仿宋_GB2312" w:cs="仿宋_GB2312"/>
                <w:sz w:val="20"/>
                <w:szCs w:val="20"/>
                <w:highlight w:val="none"/>
              </w:rPr>
            </w:pPr>
            <w:r>
              <w:rPr>
                <w:rFonts w:hint="eastAsia" w:ascii="仿宋_GB2312" w:hAnsi="仿宋_GB2312" w:eastAsia="仿宋_GB2312" w:cs="仿宋_GB2312"/>
                <w:spacing w:val="-5"/>
                <w:sz w:val="20"/>
                <w:szCs w:val="20"/>
                <w:highlight w:val="none"/>
              </w:rPr>
              <w:t>核心技术、管理和营销团队情况，并请给出企业员工规模和博士、硕士研究生和留学生人数。</w:t>
            </w:r>
          </w:p>
        </w:tc>
      </w:tr>
    </w:tbl>
    <w:p w14:paraId="51BE3870">
      <w:pPr>
        <w:spacing w:line="300" w:lineRule="exact"/>
        <w:rPr>
          <w:highlight w:val="none"/>
        </w:rPr>
      </w:pPr>
    </w:p>
    <w:p w14:paraId="20B5CFBF">
      <w:pPr>
        <w:spacing w:before="121" w:line="300" w:lineRule="exact"/>
        <w:ind w:left="960"/>
        <w:rPr>
          <w:rFonts w:ascii="楷体" w:hAnsi="楷体" w:eastAsia="楷体" w:cs="楷体"/>
          <w:sz w:val="23"/>
          <w:szCs w:val="23"/>
          <w:highlight w:val="none"/>
        </w:rPr>
      </w:pPr>
      <w:r>
        <w:rPr>
          <w:rFonts w:ascii="楷体" w:hAnsi="楷体" w:eastAsia="楷体" w:cs="楷体"/>
          <w:spacing w:val="-5"/>
          <w:sz w:val="23"/>
          <w:szCs w:val="23"/>
          <w:highlight w:val="none"/>
        </w:rPr>
        <w:t>注意：填写内容可在对应处注明“另附资料”后另外提供。</w:t>
      </w:r>
    </w:p>
    <w:p w14:paraId="64FB1699">
      <w:pPr>
        <w:spacing w:line="300" w:lineRule="exact"/>
        <w:rPr>
          <w:highlight w:val="none"/>
        </w:rPr>
        <w:sectPr>
          <w:footerReference r:id="rId5" w:type="default"/>
          <w:pgSz w:w="11900" w:h="16840"/>
          <w:pgMar w:top="2098" w:right="1474" w:bottom="1417" w:left="1587" w:header="0" w:footer="0" w:gutter="0"/>
          <w:pgNumType w:fmt="numberInDash" w:start="3"/>
          <w:cols w:space="720" w:num="1"/>
        </w:sectPr>
      </w:pPr>
    </w:p>
    <w:tbl>
      <w:tblPr>
        <w:tblStyle w:val="9"/>
        <w:tblpPr w:leftFromText="180" w:rightFromText="180" w:vertAnchor="text" w:horzAnchor="page" w:tblpX="1676" w:tblpY="53"/>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5"/>
        <w:gridCol w:w="1268"/>
        <w:gridCol w:w="1678"/>
        <w:gridCol w:w="569"/>
        <w:gridCol w:w="1129"/>
        <w:gridCol w:w="1119"/>
        <w:gridCol w:w="569"/>
        <w:gridCol w:w="1703"/>
      </w:tblGrid>
      <w:tr w14:paraId="52CE5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755" w:type="dxa"/>
            <w:vMerge w:val="restart"/>
            <w:tcBorders>
              <w:bottom w:val="nil"/>
            </w:tcBorders>
            <w:noWrap w:val="0"/>
            <w:textDirection w:val="tbRlV"/>
            <w:vAlign w:val="center"/>
          </w:tcPr>
          <w:p w14:paraId="17D3A4F9">
            <w:pPr>
              <w:spacing w:before="238" w:line="300" w:lineRule="exact"/>
              <w:jc w:val="center"/>
              <w:rPr>
                <w:rFonts w:ascii="宋体" w:hAnsi="宋体" w:eastAsia="宋体" w:cs="宋体"/>
                <w:szCs w:val="21"/>
                <w:highlight w:val="none"/>
              </w:rPr>
            </w:pPr>
            <w:r>
              <w:rPr>
                <w:rFonts w:hint="eastAsia" w:ascii="宋体" w:hAnsi="宋体" w:eastAsia="宋体" w:cs="宋体"/>
                <w:spacing w:val="-5"/>
                <w:szCs w:val="21"/>
                <w:highlight w:val="none"/>
              </w:rPr>
              <w:t>场地需求</w:t>
            </w:r>
          </w:p>
        </w:tc>
        <w:tc>
          <w:tcPr>
            <w:tcW w:w="1268" w:type="dxa"/>
            <w:noWrap w:val="0"/>
            <w:vAlign w:val="top"/>
          </w:tcPr>
          <w:p w14:paraId="5F005B8D">
            <w:pPr>
              <w:spacing w:before="154" w:line="300" w:lineRule="exact"/>
              <w:ind w:left="231"/>
              <w:rPr>
                <w:rFonts w:ascii="宋体" w:hAnsi="宋体" w:eastAsia="宋体" w:cs="宋体"/>
                <w:szCs w:val="21"/>
                <w:highlight w:val="none"/>
              </w:rPr>
            </w:pPr>
            <w:r>
              <w:rPr>
                <w:rFonts w:ascii="宋体" w:hAnsi="宋体" w:eastAsia="宋体" w:cs="宋体"/>
                <w:spacing w:val="-2"/>
                <w:szCs w:val="21"/>
                <w:highlight w:val="none"/>
              </w:rPr>
              <w:t>注册地址</w:t>
            </w:r>
          </w:p>
        </w:tc>
        <w:tc>
          <w:tcPr>
            <w:tcW w:w="6767" w:type="dxa"/>
            <w:gridSpan w:val="6"/>
            <w:noWrap w:val="0"/>
            <w:vAlign w:val="top"/>
          </w:tcPr>
          <w:p w14:paraId="1D7A71E3">
            <w:pPr>
              <w:spacing w:line="300" w:lineRule="exact"/>
              <w:rPr>
                <w:rFonts w:ascii="Arial"/>
                <w:highlight w:val="none"/>
              </w:rPr>
            </w:pPr>
          </w:p>
        </w:tc>
      </w:tr>
      <w:tr w14:paraId="445A5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755" w:type="dxa"/>
            <w:vMerge w:val="continue"/>
            <w:tcBorders>
              <w:top w:val="nil"/>
              <w:bottom w:val="nil"/>
            </w:tcBorders>
            <w:noWrap w:val="0"/>
            <w:textDirection w:val="tbRlV"/>
            <w:vAlign w:val="center"/>
          </w:tcPr>
          <w:p w14:paraId="0398D058">
            <w:pPr>
              <w:spacing w:line="300" w:lineRule="exact"/>
              <w:jc w:val="center"/>
              <w:rPr>
                <w:rFonts w:ascii="Arial"/>
                <w:highlight w:val="none"/>
              </w:rPr>
            </w:pPr>
          </w:p>
        </w:tc>
        <w:tc>
          <w:tcPr>
            <w:tcW w:w="1268" w:type="dxa"/>
            <w:noWrap w:val="0"/>
            <w:vAlign w:val="top"/>
          </w:tcPr>
          <w:p w14:paraId="2C388977">
            <w:pPr>
              <w:spacing w:before="158" w:line="300" w:lineRule="exact"/>
              <w:ind w:left="231"/>
              <w:rPr>
                <w:rFonts w:ascii="宋体" w:hAnsi="宋体" w:eastAsia="宋体" w:cs="宋体"/>
                <w:szCs w:val="21"/>
                <w:highlight w:val="none"/>
              </w:rPr>
            </w:pPr>
            <w:r>
              <w:rPr>
                <w:rFonts w:ascii="宋体" w:hAnsi="宋体" w:eastAsia="宋体" w:cs="宋体"/>
                <w:spacing w:val="2"/>
                <w:szCs w:val="21"/>
                <w:highlight w:val="none"/>
              </w:rPr>
              <w:t>办公场地</w:t>
            </w:r>
          </w:p>
        </w:tc>
        <w:tc>
          <w:tcPr>
            <w:tcW w:w="6767" w:type="dxa"/>
            <w:gridSpan w:val="6"/>
            <w:noWrap w:val="0"/>
            <w:vAlign w:val="top"/>
          </w:tcPr>
          <w:p w14:paraId="464FC22F">
            <w:pPr>
              <w:spacing w:before="151" w:line="300" w:lineRule="exact"/>
              <w:ind w:firstLine="100" w:firstLineChars="50"/>
              <w:rPr>
                <w:rFonts w:ascii="宋体" w:hAnsi="宋体" w:eastAsia="宋体" w:cs="宋体"/>
                <w:szCs w:val="21"/>
                <w:highlight w:val="none"/>
              </w:rPr>
            </w:pPr>
            <w:r>
              <w:rPr>
                <w:rFonts w:ascii="宋体" w:hAnsi="宋体" w:eastAsia="宋体" w:cs="宋体"/>
                <w:spacing w:val="-5"/>
                <w:szCs w:val="21"/>
                <w:highlight w:val="none"/>
              </w:rPr>
              <w:t>申请</w:t>
            </w:r>
            <w:r>
              <w:rPr>
                <w:rFonts w:ascii="宋体" w:hAnsi="宋体" w:eastAsia="宋体" w:cs="宋体"/>
                <w:spacing w:val="-5"/>
                <w:szCs w:val="21"/>
                <w:highlight w:val="none"/>
                <w:u w:val="single"/>
              </w:rPr>
              <w:t xml:space="preserve">                </w:t>
            </w:r>
            <w:r>
              <w:rPr>
                <w:rFonts w:ascii="宋体" w:hAnsi="宋体" w:eastAsia="宋体" w:cs="宋体"/>
                <w:spacing w:val="-5"/>
                <w:szCs w:val="21"/>
                <w:highlight w:val="none"/>
              </w:rPr>
              <w:t>间办公室</w:t>
            </w:r>
            <w:r>
              <w:rPr>
                <w:rFonts w:ascii="宋体" w:hAnsi="宋体" w:eastAsia="宋体" w:cs="宋体"/>
                <w:spacing w:val="-5"/>
                <w:szCs w:val="21"/>
                <w:highlight w:val="none"/>
                <w:u w:val="single"/>
              </w:rPr>
              <w:t xml:space="preserve">                             </w:t>
            </w:r>
            <w:r>
              <w:rPr>
                <w:rFonts w:ascii="宋体" w:hAnsi="宋体" w:eastAsia="宋体" w:cs="宋体"/>
                <w:spacing w:val="-5"/>
                <w:szCs w:val="21"/>
                <w:highlight w:val="none"/>
              </w:rPr>
              <w:t>平方米</w:t>
            </w:r>
          </w:p>
        </w:tc>
      </w:tr>
      <w:tr w14:paraId="7B8E6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55" w:type="dxa"/>
            <w:vMerge w:val="continue"/>
            <w:tcBorders>
              <w:top w:val="nil"/>
              <w:bottom w:val="nil"/>
            </w:tcBorders>
            <w:noWrap w:val="0"/>
            <w:textDirection w:val="tbRlV"/>
            <w:vAlign w:val="center"/>
          </w:tcPr>
          <w:p w14:paraId="08F5C795">
            <w:pPr>
              <w:spacing w:line="300" w:lineRule="exact"/>
              <w:jc w:val="center"/>
              <w:rPr>
                <w:rFonts w:ascii="Arial"/>
                <w:highlight w:val="none"/>
              </w:rPr>
            </w:pPr>
          </w:p>
        </w:tc>
        <w:tc>
          <w:tcPr>
            <w:tcW w:w="1268" w:type="dxa"/>
            <w:noWrap w:val="0"/>
            <w:vAlign w:val="top"/>
          </w:tcPr>
          <w:p w14:paraId="6F16BE91">
            <w:pPr>
              <w:spacing w:before="139" w:line="300" w:lineRule="exact"/>
              <w:ind w:left="231"/>
              <w:rPr>
                <w:rFonts w:ascii="宋体" w:hAnsi="宋体" w:eastAsia="宋体" w:cs="宋体"/>
                <w:szCs w:val="21"/>
                <w:highlight w:val="none"/>
              </w:rPr>
            </w:pPr>
            <w:r>
              <w:rPr>
                <w:rFonts w:ascii="宋体" w:hAnsi="宋体" w:eastAsia="宋体" w:cs="宋体"/>
                <w:spacing w:val="-2"/>
                <w:szCs w:val="21"/>
                <w:highlight w:val="none"/>
              </w:rPr>
              <w:t>研发场地</w:t>
            </w:r>
          </w:p>
        </w:tc>
        <w:tc>
          <w:tcPr>
            <w:tcW w:w="6767" w:type="dxa"/>
            <w:gridSpan w:val="6"/>
            <w:noWrap w:val="0"/>
            <w:vAlign w:val="top"/>
          </w:tcPr>
          <w:p w14:paraId="7E831331">
            <w:pPr>
              <w:spacing w:before="108" w:line="300" w:lineRule="exact"/>
              <w:rPr>
                <w:rFonts w:ascii="宋体" w:hAnsi="宋体" w:eastAsia="宋体" w:cs="宋体"/>
                <w:szCs w:val="21"/>
                <w:highlight w:val="none"/>
              </w:rPr>
            </w:pPr>
            <w:r>
              <w:rPr>
                <w:rFonts w:ascii="宋体" w:hAnsi="宋体" w:eastAsia="宋体" w:cs="宋体"/>
                <w:spacing w:val="-5"/>
                <w:szCs w:val="21"/>
                <w:highlight w:val="none"/>
              </w:rPr>
              <w:t>申请</w:t>
            </w:r>
            <w:r>
              <w:rPr>
                <w:rFonts w:ascii="宋体" w:hAnsi="宋体" w:eastAsia="宋体" w:cs="宋体"/>
                <w:spacing w:val="-5"/>
                <w:szCs w:val="21"/>
                <w:highlight w:val="none"/>
                <w:u w:val="single"/>
              </w:rPr>
              <w:t xml:space="preserve">                </w:t>
            </w:r>
            <w:r>
              <w:rPr>
                <w:rFonts w:ascii="宋体" w:hAnsi="宋体" w:eastAsia="宋体" w:cs="宋体"/>
                <w:spacing w:val="-5"/>
                <w:szCs w:val="21"/>
                <w:highlight w:val="none"/>
              </w:rPr>
              <w:t>间办公室</w:t>
            </w:r>
            <w:r>
              <w:rPr>
                <w:rFonts w:ascii="宋体" w:hAnsi="宋体" w:eastAsia="宋体" w:cs="宋体"/>
                <w:spacing w:val="-5"/>
                <w:szCs w:val="21"/>
                <w:highlight w:val="none"/>
                <w:u w:val="single"/>
              </w:rPr>
              <w:t xml:space="preserve">                             </w:t>
            </w:r>
            <w:r>
              <w:rPr>
                <w:rFonts w:ascii="宋体" w:hAnsi="宋体" w:eastAsia="宋体" w:cs="宋体"/>
                <w:spacing w:val="-5"/>
                <w:szCs w:val="21"/>
                <w:highlight w:val="none"/>
              </w:rPr>
              <w:t>平方米</w:t>
            </w:r>
          </w:p>
        </w:tc>
      </w:tr>
      <w:tr w14:paraId="28096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755" w:type="dxa"/>
            <w:vMerge w:val="continue"/>
            <w:tcBorders>
              <w:top w:val="nil"/>
              <w:bottom w:val="nil"/>
            </w:tcBorders>
            <w:noWrap w:val="0"/>
            <w:textDirection w:val="tbRlV"/>
            <w:vAlign w:val="center"/>
          </w:tcPr>
          <w:p w14:paraId="20275817">
            <w:pPr>
              <w:spacing w:line="300" w:lineRule="exact"/>
              <w:jc w:val="center"/>
              <w:rPr>
                <w:rFonts w:ascii="Arial"/>
                <w:highlight w:val="none"/>
              </w:rPr>
            </w:pPr>
          </w:p>
        </w:tc>
        <w:tc>
          <w:tcPr>
            <w:tcW w:w="1268" w:type="dxa"/>
            <w:noWrap w:val="0"/>
            <w:vAlign w:val="center"/>
          </w:tcPr>
          <w:p w14:paraId="6F0886BE">
            <w:pPr>
              <w:spacing w:before="129" w:line="300" w:lineRule="exact"/>
              <w:ind w:left="231"/>
              <w:jc w:val="center"/>
              <w:rPr>
                <w:rFonts w:ascii="宋体" w:hAnsi="宋体" w:eastAsia="宋体" w:cs="宋体"/>
                <w:szCs w:val="21"/>
                <w:highlight w:val="none"/>
              </w:rPr>
            </w:pPr>
            <w:r>
              <w:rPr>
                <w:rFonts w:ascii="宋体" w:hAnsi="宋体" w:eastAsia="宋体" w:cs="宋体"/>
                <w:spacing w:val="2"/>
                <w:szCs w:val="21"/>
                <w:highlight w:val="none"/>
              </w:rPr>
              <w:t>办公人数</w:t>
            </w:r>
          </w:p>
        </w:tc>
        <w:tc>
          <w:tcPr>
            <w:tcW w:w="2247" w:type="dxa"/>
            <w:gridSpan w:val="2"/>
            <w:noWrap w:val="0"/>
            <w:vAlign w:val="top"/>
          </w:tcPr>
          <w:p w14:paraId="2CED42B5">
            <w:pPr>
              <w:spacing w:before="128" w:line="300" w:lineRule="exact"/>
              <w:ind w:left="92"/>
              <w:rPr>
                <w:rFonts w:ascii="宋体" w:hAnsi="宋体" w:eastAsia="宋体" w:cs="宋体"/>
                <w:sz w:val="20"/>
                <w:szCs w:val="20"/>
                <w:highlight w:val="none"/>
              </w:rPr>
            </w:pPr>
            <w:r>
              <w:rPr>
                <w:rFonts w:ascii="宋体" w:hAnsi="宋体" w:eastAsia="宋体" w:cs="宋体"/>
                <w:spacing w:val="13"/>
                <w:sz w:val="20"/>
                <w:szCs w:val="20"/>
                <w:highlight w:val="none"/>
              </w:rPr>
              <w:t>(需提供常驻人员名单)</w:t>
            </w:r>
          </w:p>
        </w:tc>
        <w:tc>
          <w:tcPr>
            <w:tcW w:w="2248" w:type="dxa"/>
            <w:gridSpan w:val="2"/>
            <w:noWrap w:val="0"/>
            <w:vAlign w:val="top"/>
          </w:tcPr>
          <w:p w14:paraId="5F1E7C48">
            <w:pPr>
              <w:spacing w:before="129" w:line="300" w:lineRule="exact"/>
              <w:ind w:left="695"/>
              <w:rPr>
                <w:rFonts w:ascii="宋体" w:hAnsi="宋体" w:eastAsia="宋体" w:cs="宋体"/>
                <w:szCs w:val="21"/>
                <w:highlight w:val="none"/>
              </w:rPr>
            </w:pPr>
            <w:r>
              <w:rPr>
                <w:rFonts w:ascii="宋体" w:hAnsi="宋体" w:eastAsia="宋体" w:cs="宋体"/>
                <w:spacing w:val="2"/>
                <w:szCs w:val="21"/>
                <w:highlight w:val="none"/>
              </w:rPr>
              <w:t>办公需求</w:t>
            </w:r>
          </w:p>
        </w:tc>
        <w:tc>
          <w:tcPr>
            <w:tcW w:w="2272" w:type="dxa"/>
            <w:gridSpan w:val="2"/>
            <w:noWrap w:val="0"/>
            <w:vAlign w:val="top"/>
          </w:tcPr>
          <w:p w14:paraId="02476F69">
            <w:pPr>
              <w:spacing w:line="300" w:lineRule="exact"/>
              <w:rPr>
                <w:rFonts w:ascii="Arial"/>
                <w:highlight w:val="none"/>
              </w:rPr>
            </w:pPr>
          </w:p>
        </w:tc>
      </w:tr>
      <w:tr w14:paraId="4A6E8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755" w:type="dxa"/>
            <w:vMerge w:val="continue"/>
            <w:tcBorders>
              <w:top w:val="nil"/>
              <w:bottom w:val="nil"/>
            </w:tcBorders>
            <w:noWrap w:val="0"/>
            <w:textDirection w:val="tbRlV"/>
            <w:vAlign w:val="center"/>
          </w:tcPr>
          <w:p w14:paraId="32C6D735">
            <w:pPr>
              <w:spacing w:line="300" w:lineRule="exact"/>
              <w:jc w:val="center"/>
              <w:rPr>
                <w:rFonts w:ascii="Arial"/>
                <w:highlight w:val="none"/>
              </w:rPr>
            </w:pPr>
          </w:p>
        </w:tc>
        <w:tc>
          <w:tcPr>
            <w:tcW w:w="1268" w:type="dxa"/>
            <w:noWrap w:val="0"/>
            <w:vAlign w:val="center"/>
          </w:tcPr>
          <w:p w14:paraId="57FD2737">
            <w:pPr>
              <w:spacing w:before="140" w:line="300" w:lineRule="exact"/>
              <w:ind w:right="232"/>
              <w:jc w:val="center"/>
              <w:rPr>
                <w:rFonts w:hint="eastAsia" w:ascii="宋体" w:hAnsi="宋体" w:cs="宋体"/>
                <w:spacing w:val="3"/>
                <w:szCs w:val="21"/>
                <w:highlight w:val="none"/>
                <w:lang w:val="en-US" w:eastAsia="zh-CN"/>
              </w:rPr>
            </w:pPr>
            <w:r>
              <w:rPr>
                <w:rFonts w:hint="eastAsia" w:ascii="宋体" w:hAnsi="宋体" w:cs="宋体"/>
                <w:spacing w:val="3"/>
                <w:szCs w:val="21"/>
                <w:highlight w:val="none"/>
                <w:lang w:eastAsia="zh-CN"/>
              </w:rPr>
              <w:t>入驻</w:t>
            </w:r>
            <w:r>
              <w:rPr>
                <w:rFonts w:hint="eastAsia" w:ascii="宋体" w:hAnsi="宋体" w:cs="宋体"/>
                <w:spacing w:val="3"/>
                <w:szCs w:val="21"/>
                <w:highlight w:val="none"/>
                <w:lang w:val="en-US" w:eastAsia="zh-CN"/>
              </w:rPr>
              <w:t>公</w:t>
            </w:r>
          </w:p>
          <w:p w14:paraId="1476418C">
            <w:pPr>
              <w:spacing w:before="140" w:line="300" w:lineRule="exact"/>
              <w:ind w:right="232"/>
              <w:jc w:val="center"/>
              <w:rPr>
                <w:rFonts w:ascii="宋体" w:hAnsi="宋体" w:eastAsia="宋体" w:cs="宋体"/>
                <w:szCs w:val="21"/>
                <w:highlight w:val="none"/>
              </w:rPr>
            </w:pPr>
            <w:r>
              <w:rPr>
                <w:rFonts w:ascii="宋体" w:hAnsi="宋体" w:eastAsia="宋体" w:cs="宋体"/>
                <w:spacing w:val="3"/>
                <w:szCs w:val="21"/>
                <w:highlight w:val="none"/>
              </w:rPr>
              <w:t>寓</w:t>
            </w:r>
            <w:r>
              <w:rPr>
                <w:rFonts w:ascii="宋体" w:hAnsi="宋体" w:eastAsia="宋体" w:cs="宋体"/>
                <w:spacing w:val="-3"/>
                <w:szCs w:val="21"/>
                <w:highlight w:val="none"/>
              </w:rPr>
              <w:t>人数</w:t>
            </w:r>
          </w:p>
        </w:tc>
        <w:tc>
          <w:tcPr>
            <w:tcW w:w="6767" w:type="dxa"/>
            <w:gridSpan w:val="6"/>
            <w:noWrap w:val="0"/>
            <w:vAlign w:val="center"/>
          </w:tcPr>
          <w:p w14:paraId="23A14E3D">
            <w:pPr>
              <w:spacing w:line="300" w:lineRule="exact"/>
              <w:jc w:val="center"/>
              <w:rPr>
                <w:rFonts w:ascii="Arial" w:eastAsia="宋体"/>
                <w:i/>
                <w:iCs/>
                <w:strike/>
                <w:highlight w:val="none"/>
              </w:rPr>
            </w:pPr>
            <w:r>
              <w:rPr>
                <w:rFonts w:hint="eastAsia" w:eastAsia="宋体"/>
                <w:i/>
                <w:iCs/>
                <w:strike/>
                <w:highlight w:val="none"/>
              </w:rPr>
              <w:t>暂            不            填           写</w:t>
            </w:r>
          </w:p>
        </w:tc>
      </w:tr>
      <w:tr w14:paraId="56AA1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55" w:type="dxa"/>
            <w:vMerge w:val="continue"/>
            <w:tcBorders>
              <w:top w:val="nil"/>
              <w:bottom w:val="nil"/>
            </w:tcBorders>
            <w:noWrap w:val="0"/>
            <w:textDirection w:val="tbRlV"/>
            <w:vAlign w:val="center"/>
          </w:tcPr>
          <w:p w14:paraId="4DB9881C">
            <w:pPr>
              <w:spacing w:line="300" w:lineRule="exact"/>
              <w:jc w:val="center"/>
              <w:rPr>
                <w:rFonts w:ascii="Arial"/>
                <w:highlight w:val="none"/>
              </w:rPr>
            </w:pPr>
          </w:p>
        </w:tc>
        <w:tc>
          <w:tcPr>
            <w:tcW w:w="1268" w:type="dxa"/>
            <w:noWrap w:val="0"/>
            <w:vAlign w:val="top"/>
          </w:tcPr>
          <w:p w14:paraId="0D230E28">
            <w:pPr>
              <w:spacing w:before="200" w:line="300" w:lineRule="exact"/>
              <w:ind w:left="231"/>
              <w:rPr>
                <w:rFonts w:ascii="宋体" w:hAnsi="宋体" w:eastAsia="宋体" w:cs="宋体"/>
                <w:szCs w:val="21"/>
                <w:highlight w:val="none"/>
              </w:rPr>
            </w:pPr>
            <w:r>
              <w:rPr>
                <w:rFonts w:ascii="宋体" w:hAnsi="宋体" w:eastAsia="宋体" w:cs="宋体"/>
                <w:spacing w:val="-2"/>
                <w:szCs w:val="21"/>
                <w:highlight w:val="none"/>
              </w:rPr>
              <w:t>用餐人数</w:t>
            </w:r>
          </w:p>
        </w:tc>
        <w:tc>
          <w:tcPr>
            <w:tcW w:w="6767" w:type="dxa"/>
            <w:gridSpan w:val="6"/>
            <w:noWrap w:val="0"/>
            <w:vAlign w:val="top"/>
          </w:tcPr>
          <w:p w14:paraId="224F1B45">
            <w:pPr>
              <w:spacing w:line="300" w:lineRule="exact"/>
              <w:rPr>
                <w:rFonts w:ascii="Arial"/>
                <w:highlight w:val="none"/>
              </w:rPr>
            </w:pPr>
          </w:p>
        </w:tc>
      </w:tr>
      <w:tr w14:paraId="7686E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755" w:type="dxa"/>
            <w:vMerge w:val="continue"/>
            <w:tcBorders>
              <w:top w:val="nil"/>
              <w:bottom w:val="nil"/>
            </w:tcBorders>
            <w:noWrap w:val="0"/>
            <w:textDirection w:val="tbRlV"/>
            <w:vAlign w:val="center"/>
          </w:tcPr>
          <w:p w14:paraId="6685978A">
            <w:pPr>
              <w:spacing w:line="300" w:lineRule="exact"/>
              <w:jc w:val="center"/>
              <w:rPr>
                <w:rFonts w:ascii="Arial"/>
                <w:highlight w:val="none"/>
              </w:rPr>
            </w:pPr>
          </w:p>
        </w:tc>
        <w:tc>
          <w:tcPr>
            <w:tcW w:w="1268" w:type="dxa"/>
            <w:vMerge w:val="restart"/>
            <w:tcBorders>
              <w:bottom w:val="nil"/>
            </w:tcBorders>
            <w:noWrap w:val="0"/>
            <w:vAlign w:val="top"/>
          </w:tcPr>
          <w:p w14:paraId="3466F584">
            <w:pPr>
              <w:spacing w:line="300" w:lineRule="exact"/>
              <w:rPr>
                <w:rFonts w:ascii="Arial"/>
                <w:highlight w:val="none"/>
              </w:rPr>
            </w:pPr>
          </w:p>
          <w:p w14:paraId="2AAF3DA0">
            <w:pPr>
              <w:spacing w:before="62" w:line="300" w:lineRule="exact"/>
              <w:ind w:left="21"/>
              <w:rPr>
                <w:rFonts w:ascii="宋体" w:hAnsi="宋体" w:eastAsia="宋体" w:cs="宋体"/>
                <w:szCs w:val="21"/>
                <w:highlight w:val="none"/>
              </w:rPr>
            </w:pPr>
            <w:r>
              <w:rPr>
                <w:rFonts w:ascii="宋体" w:hAnsi="宋体" w:eastAsia="宋体" w:cs="宋体"/>
                <w:spacing w:val="25"/>
                <w:sz w:val="19"/>
                <w:szCs w:val="19"/>
                <w:highlight w:val="none"/>
              </w:rPr>
              <w:t>审批通过后，</w:t>
            </w:r>
            <w:r>
              <w:rPr>
                <w:rFonts w:ascii="宋体" w:hAnsi="宋体" w:eastAsia="宋体" w:cs="宋体"/>
                <w:spacing w:val="2"/>
                <w:szCs w:val="21"/>
                <w:highlight w:val="none"/>
              </w:rPr>
              <w:t>本栏目由管理方登记</w:t>
            </w:r>
            <w:r>
              <w:rPr>
                <w:rFonts w:ascii="宋体" w:hAnsi="宋体" w:eastAsia="宋体" w:cs="宋体"/>
                <w:spacing w:val="7"/>
                <w:szCs w:val="21"/>
                <w:highlight w:val="none"/>
              </w:rPr>
              <w:t>填写</w:t>
            </w:r>
          </w:p>
        </w:tc>
        <w:tc>
          <w:tcPr>
            <w:tcW w:w="1678" w:type="dxa"/>
            <w:noWrap w:val="0"/>
            <w:vAlign w:val="top"/>
          </w:tcPr>
          <w:p w14:paraId="5C894918">
            <w:pPr>
              <w:spacing w:line="300" w:lineRule="exact"/>
              <w:rPr>
                <w:rFonts w:ascii="Arial"/>
                <w:highlight w:val="none"/>
              </w:rPr>
            </w:pPr>
          </w:p>
          <w:p w14:paraId="6BE1080F">
            <w:pPr>
              <w:spacing w:before="69" w:line="300" w:lineRule="exact"/>
              <w:ind w:left="202"/>
              <w:rPr>
                <w:rFonts w:ascii="宋体" w:hAnsi="宋体" w:eastAsia="宋体" w:cs="宋体"/>
                <w:szCs w:val="21"/>
                <w:highlight w:val="none"/>
              </w:rPr>
            </w:pPr>
            <w:r>
              <w:rPr>
                <w:rFonts w:ascii="宋体" w:hAnsi="宋体" w:eastAsia="宋体" w:cs="宋体"/>
                <w:spacing w:val="2"/>
                <w:szCs w:val="21"/>
                <w:highlight w:val="none"/>
              </w:rPr>
              <w:t>实际使用面积</w:t>
            </w:r>
          </w:p>
        </w:tc>
        <w:tc>
          <w:tcPr>
            <w:tcW w:w="1698" w:type="dxa"/>
            <w:gridSpan w:val="2"/>
            <w:noWrap w:val="0"/>
            <w:vAlign w:val="top"/>
          </w:tcPr>
          <w:p w14:paraId="4F0881A3">
            <w:pPr>
              <w:spacing w:line="300" w:lineRule="exact"/>
              <w:rPr>
                <w:rFonts w:ascii="Arial"/>
                <w:highlight w:val="none"/>
              </w:rPr>
            </w:pPr>
          </w:p>
        </w:tc>
        <w:tc>
          <w:tcPr>
            <w:tcW w:w="1688" w:type="dxa"/>
            <w:gridSpan w:val="2"/>
            <w:noWrap w:val="0"/>
            <w:vAlign w:val="top"/>
          </w:tcPr>
          <w:p w14:paraId="76F4A1FE">
            <w:pPr>
              <w:spacing w:line="300" w:lineRule="exact"/>
              <w:rPr>
                <w:rFonts w:ascii="Arial"/>
                <w:highlight w:val="none"/>
              </w:rPr>
            </w:pPr>
          </w:p>
          <w:p w14:paraId="24E7E060">
            <w:pPr>
              <w:spacing w:before="69" w:line="300" w:lineRule="exact"/>
              <w:ind w:left="206"/>
              <w:rPr>
                <w:rFonts w:ascii="宋体" w:hAnsi="宋体" w:eastAsia="宋体" w:cs="宋体"/>
                <w:szCs w:val="21"/>
                <w:highlight w:val="none"/>
              </w:rPr>
            </w:pPr>
            <w:r>
              <w:rPr>
                <w:rFonts w:ascii="宋体" w:hAnsi="宋体" w:eastAsia="宋体" w:cs="宋体"/>
                <w:spacing w:val="1"/>
                <w:szCs w:val="21"/>
                <w:highlight w:val="none"/>
              </w:rPr>
              <w:t>实际使用位置</w:t>
            </w:r>
          </w:p>
        </w:tc>
        <w:tc>
          <w:tcPr>
            <w:tcW w:w="1703" w:type="dxa"/>
            <w:noWrap w:val="0"/>
            <w:vAlign w:val="top"/>
          </w:tcPr>
          <w:p w14:paraId="0D15668D">
            <w:pPr>
              <w:spacing w:line="300" w:lineRule="exact"/>
              <w:rPr>
                <w:rFonts w:ascii="Arial"/>
                <w:highlight w:val="none"/>
              </w:rPr>
            </w:pPr>
          </w:p>
        </w:tc>
      </w:tr>
      <w:tr w14:paraId="0FC64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755" w:type="dxa"/>
            <w:vMerge w:val="continue"/>
            <w:tcBorders>
              <w:top w:val="nil"/>
            </w:tcBorders>
            <w:noWrap w:val="0"/>
            <w:textDirection w:val="tbRlV"/>
            <w:vAlign w:val="center"/>
          </w:tcPr>
          <w:p w14:paraId="75BC558C">
            <w:pPr>
              <w:spacing w:line="300" w:lineRule="exact"/>
              <w:jc w:val="center"/>
              <w:rPr>
                <w:rFonts w:ascii="Arial"/>
                <w:highlight w:val="none"/>
              </w:rPr>
            </w:pPr>
          </w:p>
        </w:tc>
        <w:tc>
          <w:tcPr>
            <w:tcW w:w="1268" w:type="dxa"/>
            <w:vMerge w:val="continue"/>
            <w:tcBorders>
              <w:top w:val="nil"/>
            </w:tcBorders>
            <w:noWrap w:val="0"/>
            <w:vAlign w:val="top"/>
          </w:tcPr>
          <w:p w14:paraId="60FBEC97">
            <w:pPr>
              <w:spacing w:line="300" w:lineRule="exact"/>
              <w:rPr>
                <w:rFonts w:ascii="Arial"/>
                <w:highlight w:val="none"/>
              </w:rPr>
            </w:pPr>
          </w:p>
        </w:tc>
        <w:tc>
          <w:tcPr>
            <w:tcW w:w="1678" w:type="dxa"/>
            <w:noWrap w:val="0"/>
            <w:vAlign w:val="top"/>
          </w:tcPr>
          <w:p w14:paraId="7BF1E984">
            <w:pPr>
              <w:spacing w:line="300" w:lineRule="exact"/>
              <w:rPr>
                <w:rFonts w:ascii="Arial"/>
                <w:highlight w:val="none"/>
              </w:rPr>
            </w:pPr>
          </w:p>
          <w:p w14:paraId="4ED0D689">
            <w:pPr>
              <w:spacing w:before="68" w:line="300" w:lineRule="exact"/>
              <w:ind w:left="202"/>
              <w:rPr>
                <w:rFonts w:ascii="宋体" w:hAnsi="宋体" w:eastAsia="宋体" w:cs="宋体"/>
                <w:szCs w:val="21"/>
                <w:highlight w:val="none"/>
              </w:rPr>
            </w:pPr>
            <w:r>
              <w:rPr>
                <w:rFonts w:ascii="宋体" w:hAnsi="宋体" w:eastAsia="宋体" w:cs="宋体"/>
                <w:spacing w:val="1"/>
                <w:szCs w:val="21"/>
                <w:highlight w:val="none"/>
              </w:rPr>
              <w:t>协议有效期限</w:t>
            </w:r>
          </w:p>
        </w:tc>
        <w:tc>
          <w:tcPr>
            <w:tcW w:w="1698" w:type="dxa"/>
            <w:gridSpan w:val="2"/>
            <w:noWrap w:val="0"/>
            <w:vAlign w:val="top"/>
          </w:tcPr>
          <w:p w14:paraId="3AD15304">
            <w:pPr>
              <w:spacing w:line="300" w:lineRule="exact"/>
              <w:rPr>
                <w:rFonts w:ascii="Arial"/>
                <w:highlight w:val="none"/>
              </w:rPr>
            </w:pPr>
          </w:p>
        </w:tc>
        <w:tc>
          <w:tcPr>
            <w:tcW w:w="1688" w:type="dxa"/>
            <w:gridSpan w:val="2"/>
            <w:noWrap w:val="0"/>
            <w:vAlign w:val="top"/>
          </w:tcPr>
          <w:p w14:paraId="3330D4D6">
            <w:pPr>
              <w:spacing w:line="300" w:lineRule="exact"/>
              <w:rPr>
                <w:rFonts w:ascii="Arial"/>
                <w:highlight w:val="none"/>
              </w:rPr>
            </w:pPr>
          </w:p>
          <w:p w14:paraId="4E3062A1">
            <w:pPr>
              <w:spacing w:before="69" w:line="300" w:lineRule="exact"/>
              <w:ind w:left="316"/>
              <w:rPr>
                <w:rFonts w:ascii="宋体" w:hAnsi="宋体" w:eastAsia="宋体" w:cs="宋体"/>
                <w:szCs w:val="21"/>
                <w:highlight w:val="none"/>
              </w:rPr>
            </w:pPr>
            <w:r>
              <w:rPr>
                <w:rFonts w:ascii="宋体" w:hAnsi="宋体" w:eastAsia="宋体" w:cs="宋体"/>
                <w:spacing w:val="-2"/>
                <w:szCs w:val="21"/>
                <w:highlight w:val="none"/>
              </w:rPr>
              <w:t>经办人签字</w:t>
            </w:r>
          </w:p>
        </w:tc>
        <w:tc>
          <w:tcPr>
            <w:tcW w:w="1703" w:type="dxa"/>
            <w:noWrap w:val="0"/>
            <w:vAlign w:val="top"/>
          </w:tcPr>
          <w:p w14:paraId="5B8D30B7">
            <w:pPr>
              <w:spacing w:line="300" w:lineRule="exact"/>
              <w:rPr>
                <w:rFonts w:ascii="Arial"/>
                <w:highlight w:val="none"/>
              </w:rPr>
            </w:pPr>
          </w:p>
        </w:tc>
      </w:tr>
      <w:tr w14:paraId="42A65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trPr>
        <w:tc>
          <w:tcPr>
            <w:tcW w:w="755" w:type="dxa"/>
            <w:noWrap w:val="0"/>
            <w:textDirection w:val="tbRlV"/>
            <w:vAlign w:val="center"/>
          </w:tcPr>
          <w:p w14:paraId="37DA8D6D">
            <w:pPr>
              <w:spacing w:line="300" w:lineRule="exact"/>
              <w:jc w:val="center"/>
              <w:rPr>
                <w:rFonts w:ascii="宋体" w:hAnsi="宋体" w:eastAsia="宋体" w:cs="宋体"/>
                <w:spacing w:val="-5"/>
                <w:szCs w:val="21"/>
                <w:highlight w:val="none"/>
              </w:rPr>
            </w:pPr>
            <w:r>
              <w:rPr>
                <w:rFonts w:hint="eastAsia" w:ascii="宋体" w:hAnsi="宋体" w:eastAsia="宋体" w:cs="宋体"/>
                <w:spacing w:val="-5"/>
                <w:szCs w:val="21"/>
                <w:highlight w:val="none"/>
              </w:rPr>
              <w:t>入驻承诺</w:t>
            </w:r>
          </w:p>
        </w:tc>
        <w:tc>
          <w:tcPr>
            <w:tcW w:w="8035" w:type="dxa"/>
            <w:gridSpan w:val="7"/>
            <w:noWrap w:val="0"/>
            <w:vAlign w:val="top"/>
          </w:tcPr>
          <w:p w14:paraId="32A6076E">
            <w:pPr>
              <w:spacing w:line="300" w:lineRule="exact"/>
              <w:rPr>
                <w:rFonts w:ascii="Arial"/>
                <w:highlight w:val="none"/>
              </w:rPr>
            </w:pPr>
          </w:p>
          <w:p w14:paraId="416A77F4">
            <w:pPr>
              <w:spacing w:before="65" w:line="300" w:lineRule="exact"/>
              <w:ind w:left="51" w:firstLine="395"/>
              <w:rPr>
                <w:rFonts w:ascii="宋体" w:hAnsi="宋体" w:eastAsia="宋体" w:cs="宋体"/>
                <w:sz w:val="20"/>
                <w:szCs w:val="20"/>
                <w:highlight w:val="none"/>
              </w:rPr>
            </w:pPr>
            <w:r>
              <w:rPr>
                <w:rFonts w:ascii="宋体" w:hAnsi="宋体" w:eastAsia="宋体" w:cs="宋体"/>
                <w:spacing w:val="-2"/>
                <w:sz w:val="20"/>
                <w:szCs w:val="20"/>
                <w:highlight w:val="none"/>
              </w:rPr>
              <w:t>我企业(团队/机构)郑重承诺：遵守国家法律法规，诚信经营，依法纳税，真实、准确、</w:t>
            </w:r>
            <w:r>
              <w:rPr>
                <w:rFonts w:ascii="宋体" w:hAnsi="宋体" w:eastAsia="宋体" w:cs="宋体"/>
                <w:spacing w:val="14"/>
                <w:sz w:val="20"/>
                <w:szCs w:val="20"/>
                <w:highlight w:val="none"/>
              </w:rPr>
              <w:t xml:space="preserve"> </w:t>
            </w:r>
            <w:r>
              <w:rPr>
                <w:rFonts w:ascii="宋体" w:hAnsi="宋体" w:eastAsia="宋体" w:cs="宋体"/>
                <w:spacing w:val="11"/>
                <w:sz w:val="20"/>
                <w:szCs w:val="20"/>
                <w:highlight w:val="none"/>
              </w:rPr>
              <w:t>完整、及时报送统计资料，接受</w:t>
            </w:r>
            <w:r>
              <w:rPr>
                <w:rFonts w:hint="eastAsia" w:ascii="宋体" w:hAnsi="宋体" w:eastAsia="宋体" w:cs="宋体"/>
                <w:spacing w:val="11"/>
                <w:sz w:val="20"/>
                <w:szCs w:val="20"/>
                <w:highlight w:val="none"/>
              </w:rPr>
              <w:t>达拉特旗隐形冠军加速部落</w:t>
            </w:r>
            <w:r>
              <w:rPr>
                <w:rFonts w:ascii="宋体" w:hAnsi="宋体" w:eastAsia="宋体" w:cs="宋体"/>
                <w:spacing w:val="11"/>
                <w:sz w:val="20"/>
                <w:szCs w:val="20"/>
                <w:highlight w:val="none"/>
              </w:rPr>
              <w:t>管理和服务。</w:t>
            </w:r>
          </w:p>
        </w:tc>
      </w:tr>
      <w:tr w14:paraId="1B2C1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trPr>
        <w:tc>
          <w:tcPr>
            <w:tcW w:w="755" w:type="dxa"/>
            <w:noWrap w:val="0"/>
            <w:textDirection w:val="tbRlV"/>
            <w:vAlign w:val="center"/>
          </w:tcPr>
          <w:p w14:paraId="5D5A9F86">
            <w:pPr>
              <w:spacing w:line="300" w:lineRule="exact"/>
              <w:jc w:val="center"/>
              <w:rPr>
                <w:rFonts w:ascii="宋体" w:hAnsi="宋体" w:eastAsia="宋体" w:cs="宋体"/>
                <w:spacing w:val="-5"/>
                <w:szCs w:val="21"/>
                <w:highlight w:val="none"/>
              </w:rPr>
            </w:pPr>
            <w:r>
              <w:rPr>
                <w:rFonts w:hint="eastAsia" w:ascii="宋体" w:hAnsi="宋体" w:cs="宋体"/>
                <w:spacing w:val="-5"/>
                <w:szCs w:val="21"/>
                <w:highlight w:val="none"/>
                <w:lang w:val="en-US" w:eastAsia="zh-CN"/>
              </w:rPr>
              <w:t>主管</w:t>
            </w:r>
            <w:r>
              <w:rPr>
                <w:rFonts w:hint="eastAsia" w:ascii="宋体" w:hAnsi="宋体" w:eastAsia="宋体" w:cs="宋体"/>
                <w:spacing w:val="-5"/>
                <w:szCs w:val="21"/>
                <w:highlight w:val="none"/>
              </w:rPr>
              <w:t>部门意见</w:t>
            </w:r>
          </w:p>
        </w:tc>
        <w:tc>
          <w:tcPr>
            <w:tcW w:w="8035" w:type="dxa"/>
            <w:gridSpan w:val="7"/>
            <w:noWrap w:val="0"/>
            <w:vAlign w:val="top"/>
          </w:tcPr>
          <w:p w14:paraId="111B86A8">
            <w:pPr>
              <w:spacing w:before="65" w:line="300" w:lineRule="exact"/>
              <w:jc w:val="right"/>
              <w:rPr>
                <w:rFonts w:ascii="宋体" w:hAnsi="宋体" w:eastAsia="宋体" w:cs="宋体"/>
                <w:spacing w:val="-13"/>
                <w:sz w:val="20"/>
                <w:szCs w:val="20"/>
                <w:highlight w:val="none"/>
              </w:rPr>
            </w:pPr>
          </w:p>
          <w:p w14:paraId="28D4769B">
            <w:pPr>
              <w:spacing w:before="65" w:line="300" w:lineRule="exact"/>
              <w:jc w:val="right"/>
              <w:rPr>
                <w:rFonts w:ascii="宋体" w:hAnsi="宋体" w:eastAsia="宋体" w:cs="宋体"/>
                <w:spacing w:val="-13"/>
                <w:sz w:val="20"/>
                <w:szCs w:val="20"/>
                <w:highlight w:val="none"/>
              </w:rPr>
            </w:pPr>
          </w:p>
          <w:p w14:paraId="231AE91E">
            <w:pPr>
              <w:spacing w:before="65" w:line="300" w:lineRule="exact"/>
              <w:jc w:val="right"/>
              <w:rPr>
                <w:rFonts w:ascii="宋体" w:hAnsi="宋体" w:eastAsia="宋体" w:cs="宋体"/>
                <w:sz w:val="20"/>
                <w:szCs w:val="20"/>
                <w:highlight w:val="none"/>
              </w:rPr>
            </w:pPr>
            <w:r>
              <w:rPr>
                <w:rFonts w:hint="eastAsia" w:ascii="宋体" w:hAnsi="宋体" w:eastAsia="宋体" w:cs="宋体"/>
                <w:spacing w:val="-13"/>
                <w:sz w:val="20"/>
                <w:szCs w:val="20"/>
                <w:highlight w:val="none"/>
                <w:u w:val="single"/>
              </w:rPr>
              <w:t xml:space="preserve">      </w:t>
            </w:r>
            <w:r>
              <w:rPr>
                <w:rFonts w:ascii="宋体" w:hAnsi="宋体" w:eastAsia="宋体" w:cs="宋体"/>
                <w:spacing w:val="-13"/>
                <w:sz w:val="20"/>
                <w:szCs w:val="20"/>
                <w:highlight w:val="none"/>
              </w:rPr>
              <w:t>年</w:t>
            </w:r>
            <w:r>
              <w:rPr>
                <w:rFonts w:hint="eastAsia" w:ascii="宋体" w:hAnsi="宋体" w:eastAsia="宋体" w:cs="宋体"/>
                <w:spacing w:val="-13"/>
                <w:sz w:val="20"/>
                <w:szCs w:val="20"/>
                <w:highlight w:val="none"/>
                <w:u w:val="single"/>
              </w:rPr>
              <w:t xml:space="preserve">     </w:t>
            </w:r>
            <w:r>
              <w:rPr>
                <w:rFonts w:ascii="宋体" w:hAnsi="宋体" w:eastAsia="宋体" w:cs="宋体"/>
                <w:spacing w:val="-13"/>
                <w:sz w:val="20"/>
                <w:szCs w:val="20"/>
                <w:highlight w:val="none"/>
              </w:rPr>
              <w:t>月</w:t>
            </w:r>
            <w:r>
              <w:rPr>
                <w:rFonts w:hint="eastAsia" w:ascii="宋体" w:hAnsi="宋体" w:eastAsia="宋体" w:cs="宋体"/>
                <w:spacing w:val="5"/>
                <w:sz w:val="20"/>
                <w:szCs w:val="20"/>
                <w:highlight w:val="none"/>
                <w:u w:val="single"/>
              </w:rPr>
              <w:t xml:space="preserve">    </w:t>
            </w:r>
            <w:r>
              <w:rPr>
                <w:rFonts w:ascii="宋体" w:hAnsi="宋体" w:eastAsia="宋体" w:cs="宋体"/>
                <w:spacing w:val="-13"/>
                <w:sz w:val="20"/>
                <w:szCs w:val="20"/>
                <w:highlight w:val="none"/>
              </w:rPr>
              <w:t>日</w:t>
            </w:r>
          </w:p>
        </w:tc>
      </w:tr>
      <w:tr w14:paraId="6AFC0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2" w:hRule="atLeast"/>
        </w:trPr>
        <w:tc>
          <w:tcPr>
            <w:tcW w:w="755" w:type="dxa"/>
            <w:noWrap w:val="0"/>
            <w:textDirection w:val="tbRlV"/>
            <w:vAlign w:val="center"/>
          </w:tcPr>
          <w:p w14:paraId="7BD50F2A">
            <w:pPr>
              <w:spacing w:line="300" w:lineRule="exact"/>
              <w:jc w:val="center"/>
              <w:rPr>
                <w:rFonts w:ascii="宋体" w:hAnsi="宋体" w:eastAsia="宋体" w:cs="宋体"/>
                <w:spacing w:val="-5"/>
                <w:szCs w:val="21"/>
                <w:highlight w:val="none"/>
              </w:rPr>
            </w:pPr>
            <w:r>
              <w:rPr>
                <w:rFonts w:hint="eastAsia" w:ascii="宋体" w:hAnsi="宋体" w:cs="宋体"/>
                <w:spacing w:val="-5"/>
                <w:szCs w:val="21"/>
                <w:highlight w:val="none"/>
                <w:lang w:val="en-US" w:eastAsia="zh-CN"/>
              </w:rPr>
              <w:t>运营方</w:t>
            </w:r>
            <w:r>
              <w:rPr>
                <w:rFonts w:hint="eastAsia" w:ascii="宋体" w:hAnsi="宋体" w:eastAsia="宋体" w:cs="宋体"/>
                <w:spacing w:val="-5"/>
                <w:szCs w:val="21"/>
                <w:highlight w:val="none"/>
              </w:rPr>
              <w:t>意见</w:t>
            </w:r>
          </w:p>
        </w:tc>
        <w:tc>
          <w:tcPr>
            <w:tcW w:w="8035" w:type="dxa"/>
            <w:gridSpan w:val="7"/>
            <w:noWrap w:val="0"/>
            <w:vAlign w:val="top"/>
          </w:tcPr>
          <w:p w14:paraId="75845672">
            <w:pPr>
              <w:spacing w:line="300" w:lineRule="exact"/>
              <w:rPr>
                <w:rFonts w:ascii="Arial"/>
                <w:highlight w:val="none"/>
              </w:rPr>
            </w:pPr>
          </w:p>
          <w:p w14:paraId="277185CD">
            <w:pPr>
              <w:spacing w:line="300" w:lineRule="exact"/>
              <w:rPr>
                <w:rFonts w:ascii="Arial"/>
                <w:highlight w:val="none"/>
              </w:rPr>
            </w:pPr>
          </w:p>
          <w:p w14:paraId="40A5A9FF">
            <w:pPr>
              <w:spacing w:line="300" w:lineRule="exact"/>
              <w:rPr>
                <w:rFonts w:ascii="Arial"/>
                <w:highlight w:val="none"/>
              </w:rPr>
            </w:pPr>
          </w:p>
          <w:p w14:paraId="6D5628D7">
            <w:pPr>
              <w:spacing w:before="65" w:line="300" w:lineRule="exact"/>
              <w:jc w:val="right"/>
              <w:rPr>
                <w:rFonts w:ascii="宋体" w:hAnsi="宋体" w:eastAsia="宋体" w:cs="宋体"/>
                <w:sz w:val="20"/>
                <w:szCs w:val="20"/>
                <w:highlight w:val="none"/>
              </w:rPr>
            </w:pPr>
            <w:r>
              <w:rPr>
                <w:rFonts w:hint="eastAsia" w:ascii="宋体" w:hAnsi="宋体" w:eastAsia="宋体" w:cs="宋体"/>
                <w:spacing w:val="-13"/>
                <w:sz w:val="20"/>
                <w:szCs w:val="20"/>
                <w:highlight w:val="none"/>
                <w:u w:val="single"/>
              </w:rPr>
              <w:t xml:space="preserve">       </w:t>
            </w:r>
            <w:r>
              <w:rPr>
                <w:rFonts w:ascii="宋体" w:hAnsi="宋体" w:eastAsia="宋体" w:cs="宋体"/>
                <w:spacing w:val="-13"/>
                <w:sz w:val="20"/>
                <w:szCs w:val="20"/>
                <w:highlight w:val="none"/>
              </w:rPr>
              <w:t>年</w:t>
            </w:r>
            <w:r>
              <w:rPr>
                <w:rFonts w:hint="eastAsia" w:ascii="宋体" w:hAnsi="宋体" w:eastAsia="宋体" w:cs="宋体"/>
                <w:spacing w:val="-13"/>
                <w:sz w:val="20"/>
                <w:szCs w:val="20"/>
                <w:highlight w:val="none"/>
                <w:u w:val="single"/>
              </w:rPr>
              <w:t xml:space="preserve">     </w:t>
            </w:r>
            <w:r>
              <w:rPr>
                <w:rFonts w:ascii="宋体" w:hAnsi="宋体" w:eastAsia="宋体" w:cs="宋体"/>
                <w:spacing w:val="-13"/>
                <w:sz w:val="20"/>
                <w:szCs w:val="20"/>
                <w:highlight w:val="none"/>
              </w:rPr>
              <w:t>月</w:t>
            </w:r>
            <w:r>
              <w:rPr>
                <w:rFonts w:hint="eastAsia" w:ascii="宋体" w:hAnsi="宋体" w:eastAsia="宋体" w:cs="宋体"/>
                <w:spacing w:val="5"/>
                <w:sz w:val="20"/>
                <w:szCs w:val="20"/>
                <w:highlight w:val="none"/>
                <w:u w:val="single"/>
              </w:rPr>
              <w:t xml:space="preserve">    </w:t>
            </w:r>
            <w:r>
              <w:rPr>
                <w:rFonts w:ascii="宋体" w:hAnsi="宋体" w:eastAsia="宋体" w:cs="宋体"/>
                <w:spacing w:val="-13"/>
                <w:sz w:val="20"/>
                <w:szCs w:val="20"/>
                <w:highlight w:val="none"/>
              </w:rPr>
              <w:t>日</w:t>
            </w:r>
          </w:p>
        </w:tc>
      </w:tr>
      <w:tr w14:paraId="621D8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9" w:hRule="atLeast"/>
        </w:trPr>
        <w:tc>
          <w:tcPr>
            <w:tcW w:w="755" w:type="dxa"/>
            <w:noWrap w:val="0"/>
            <w:textDirection w:val="tbRlV"/>
            <w:vAlign w:val="center"/>
          </w:tcPr>
          <w:p w14:paraId="124E3124">
            <w:pPr>
              <w:spacing w:line="300" w:lineRule="exact"/>
              <w:jc w:val="center"/>
              <w:rPr>
                <w:rFonts w:ascii="宋体" w:hAnsi="宋体" w:eastAsia="宋体" w:cs="宋体"/>
                <w:szCs w:val="21"/>
                <w:highlight w:val="none"/>
              </w:rPr>
            </w:pPr>
            <w:r>
              <w:rPr>
                <w:rFonts w:hint="eastAsia" w:ascii="宋体" w:hAnsi="宋体" w:cs="宋体"/>
                <w:spacing w:val="-5"/>
                <w:szCs w:val="21"/>
                <w:highlight w:val="none"/>
                <w:lang w:val="en-US" w:eastAsia="zh-CN"/>
              </w:rPr>
              <w:t>政府分管领导</w:t>
            </w:r>
            <w:r>
              <w:rPr>
                <w:rFonts w:hint="eastAsia" w:ascii="宋体" w:hAnsi="宋体" w:eastAsia="宋体" w:cs="宋体"/>
                <w:spacing w:val="-5"/>
                <w:szCs w:val="21"/>
                <w:highlight w:val="none"/>
              </w:rPr>
              <w:t>意见</w:t>
            </w:r>
          </w:p>
        </w:tc>
        <w:tc>
          <w:tcPr>
            <w:tcW w:w="8035" w:type="dxa"/>
            <w:gridSpan w:val="7"/>
            <w:noWrap w:val="0"/>
            <w:vAlign w:val="top"/>
          </w:tcPr>
          <w:p w14:paraId="2E3DE21F">
            <w:pPr>
              <w:spacing w:line="300" w:lineRule="exact"/>
              <w:rPr>
                <w:rFonts w:ascii="Arial"/>
                <w:highlight w:val="none"/>
              </w:rPr>
            </w:pPr>
          </w:p>
          <w:p w14:paraId="17174074">
            <w:pPr>
              <w:spacing w:line="300" w:lineRule="exact"/>
              <w:rPr>
                <w:rFonts w:ascii="Arial"/>
                <w:highlight w:val="none"/>
              </w:rPr>
            </w:pPr>
          </w:p>
          <w:p w14:paraId="6CB5EDFD">
            <w:pPr>
              <w:spacing w:line="300" w:lineRule="exact"/>
              <w:rPr>
                <w:rFonts w:ascii="Arial"/>
                <w:highlight w:val="none"/>
              </w:rPr>
            </w:pPr>
          </w:p>
          <w:p w14:paraId="215D98F7">
            <w:pPr>
              <w:spacing w:line="300" w:lineRule="exact"/>
              <w:rPr>
                <w:rFonts w:ascii="Arial"/>
                <w:highlight w:val="none"/>
              </w:rPr>
            </w:pPr>
          </w:p>
          <w:p w14:paraId="2B3416E1">
            <w:pPr>
              <w:spacing w:before="68" w:line="300" w:lineRule="exact"/>
              <w:ind w:right="202"/>
              <w:jc w:val="right"/>
              <w:rPr>
                <w:rFonts w:ascii="宋体" w:hAnsi="宋体" w:eastAsia="宋体" w:cs="宋体"/>
                <w:szCs w:val="21"/>
                <w:highlight w:val="none"/>
              </w:rPr>
            </w:pPr>
            <w:r>
              <w:rPr>
                <w:rFonts w:hint="eastAsia" w:ascii="宋体" w:hAnsi="宋体" w:eastAsia="宋体" w:cs="宋体"/>
                <w:spacing w:val="-13"/>
                <w:sz w:val="20"/>
                <w:szCs w:val="20"/>
                <w:highlight w:val="none"/>
                <w:u w:val="single"/>
              </w:rPr>
              <w:t xml:space="preserve">      </w:t>
            </w:r>
            <w:r>
              <w:rPr>
                <w:rFonts w:ascii="宋体" w:hAnsi="宋体" w:eastAsia="宋体" w:cs="宋体"/>
                <w:spacing w:val="-13"/>
                <w:sz w:val="20"/>
                <w:szCs w:val="20"/>
                <w:highlight w:val="none"/>
              </w:rPr>
              <w:t>年</w:t>
            </w:r>
            <w:r>
              <w:rPr>
                <w:rFonts w:hint="eastAsia" w:ascii="宋体" w:hAnsi="宋体" w:eastAsia="宋体" w:cs="宋体"/>
                <w:spacing w:val="-13"/>
                <w:sz w:val="20"/>
                <w:szCs w:val="20"/>
                <w:highlight w:val="none"/>
                <w:u w:val="single"/>
              </w:rPr>
              <w:t xml:space="preserve">     </w:t>
            </w:r>
            <w:r>
              <w:rPr>
                <w:rFonts w:ascii="宋体" w:hAnsi="宋体" w:eastAsia="宋体" w:cs="宋体"/>
                <w:spacing w:val="-13"/>
                <w:sz w:val="20"/>
                <w:szCs w:val="20"/>
                <w:highlight w:val="none"/>
              </w:rPr>
              <w:t>月</w:t>
            </w:r>
            <w:r>
              <w:rPr>
                <w:rFonts w:hint="eastAsia" w:ascii="宋体" w:hAnsi="宋体" w:eastAsia="宋体" w:cs="宋体"/>
                <w:spacing w:val="5"/>
                <w:sz w:val="20"/>
                <w:szCs w:val="20"/>
                <w:highlight w:val="none"/>
                <w:u w:val="single"/>
              </w:rPr>
              <w:t xml:space="preserve">    </w:t>
            </w:r>
            <w:r>
              <w:rPr>
                <w:rFonts w:ascii="宋体" w:hAnsi="宋体" w:eastAsia="宋体" w:cs="宋体"/>
                <w:spacing w:val="-13"/>
                <w:sz w:val="20"/>
                <w:szCs w:val="20"/>
                <w:highlight w:val="none"/>
              </w:rPr>
              <w:t>日</w:t>
            </w:r>
          </w:p>
        </w:tc>
      </w:tr>
      <w:tr w14:paraId="3DD53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8790" w:type="dxa"/>
            <w:gridSpan w:val="8"/>
            <w:noWrap w:val="0"/>
            <w:vAlign w:val="top"/>
          </w:tcPr>
          <w:p w14:paraId="11C0EDFC">
            <w:pPr>
              <w:spacing w:before="157" w:line="300" w:lineRule="exact"/>
              <w:ind w:left="55"/>
              <w:rPr>
                <w:rFonts w:ascii="宋体" w:hAnsi="宋体" w:eastAsia="宋体" w:cs="宋体"/>
                <w:szCs w:val="21"/>
                <w:highlight w:val="none"/>
              </w:rPr>
            </w:pPr>
            <w:r>
              <w:rPr>
                <w:rFonts w:ascii="宋体" w:hAnsi="宋体" w:eastAsia="宋体" w:cs="宋体"/>
                <w:spacing w:val="7"/>
                <w:szCs w:val="21"/>
                <w:highlight w:val="none"/>
              </w:rPr>
              <w:t>申请单位盖章：</w:t>
            </w:r>
            <w:r>
              <w:rPr>
                <w:rFonts w:ascii="宋体" w:hAnsi="宋体" w:eastAsia="宋体" w:cs="宋体"/>
                <w:spacing w:val="3"/>
                <w:szCs w:val="21"/>
                <w:highlight w:val="none"/>
              </w:rPr>
              <w:t xml:space="preserve">                             </w:t>
            </w:r>
            <w:r>
              <w:rPr>
                <w:rFonts w:hint="eastAsia" w:ascii="宋体" w:hAnsi="宋体" w:eastAsia="宋体" w:cs="宋体"/>
                <w:spacing w:val="3"/>
                <w:szCs w:val="21"/>
                <w:highlight w:val="none"/>
              </w:rPr>
              <w:t xml:space="preserve">               </w:t>
            </w:r>
            <w:r>
              <w:rPr>
                <w:rFonts w:ascii="宋体" w:hAnsi="宋体" w:eastAsia="宋体" w:cs="宋体"/>
                <w:spacing w:val="7"/>
                <w:szCs w:val="21"/>
                <w:highlight w:val="none"/>
              </w:rPr>
              <w:t>法定代表人签字：</w:t>
            </w:r>
          </w:p>
        </w:tc>
      </w:tr>
    </w:tbl>
    <w:p w14:paraId="7A60DEA4"/>
    <w:sectPr>
      <w:footerReference r:id="rId6"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E2E2F">
    <w:pPr>
      <w:pStyle w:val="5"/>
      <w:rPr>
        <w:rStyle w:val="8"/>
        <w:rFonts w:hint="eastAsia" w:ascii="仿宋_GB2312" w:eastAsia="仿宋_GB23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posOffset>5027295</wp:posOffset>
              </wp:positionH>
              <wp:positionV relativeFrom="paragraph">
                <wp:posOffset>-133985</wp:posOffset>
              </wp:positionV>
              <wp:extent cx="589280" cy="20383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89280" cy="203835"/>
                      </a:xfrm>
                      <a:prstGeom prst="rect">
                        <a:avLst/>
                      </a:prstGeom>
                      <a:noFill/>
                      <a:ln>
                        <a:noFill/>
                      </a:ln>
                    </wps:spPr>
                    <wps:txbx>
                      <w:txbxContent>
                        <w:p w14:paraId="2C0D9E3B">
                          <w:pPr>
                            <w:snapToGrid w:val="0"/>
                            <w:rPr>
                              <w:rFonts w:hint="eastAsia" w:ascii="宋体" w:hAnsi="宋体" w:cs="宋体"/>
                              <w:sz w:val="28"/>
                              <w:szCs w:val="28"/>
                            </w:rPr>
                          </w:pPr>
                        </w:p>
                      </w:txbxContent>
                    </wps:txbx>
                    <wps:bodyPr lIns="0" tIns="0" rIns="0" bIns="0" upright="0"/>
                  </wps:wsp>
                </a:graphicData>
              </a:graphic>
            </wp:anchor>
          </w:drawing>
        </mc:Choice>
        <mc:Fallback>
          <w:pict>
            <v:shape id="_x0000_s1026" o:spid="_x0000_s1026" o:spt="202" type="#_x0000_t202" style="position:absolute;left:0pt;margin-left:395.85pt;margin-top:-10.55pt;height:16.05pt;width:46.4pt;mso-position-horizontal-relative:margin;z-index:251659264;mso-width-relative:page;mso-height-relative:page;" filled="f" stroked="f" coordsize="21600,21600" o:gfxdata="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xcni22QAAAAoBAAAPAAAAAAAAAAEAIAAAACIAAABkcnMvZG93bnJldi54bWxQSwEC&#10;FAAUAAAACACHTuJAit249roBAABxAwAADgAAAAAAAAABACAAAAAoAQAAZHJzL2Uyb0RvYy54bWxQ&#10;SwUGAAAAAAYABgBZAQAAVAUAAAAA&#10;">
              <v:path/>
              <v:fill on="f" focussize="0,0"/>
              <v:stroke on="f"/>
              <v:imagedata o:title=""/>
              <o:lock v:ext="edit" aspectratio="f"/>
              <v:textbox inset="0mm,0mm,0mm,0mm">
                <w:txbxContent>
                  <w:p w14:paraId="2C0D9E3B">
                    <w:pPr>
                      <w:snapToGrid w:val="0"/>
                      <w:rPr>
                        <w:rFonts w:hint="eastAsia" w:ascii="宋体" w:hAnsi="宋体" w:cs="宋体"/>
                        <w:sz w:val="28"/>
                        <w:szCs w:val="28"/>
                      </w:rPr>
                    </w:pPr>
                  </w:p>
                </w:txbxContent>
              </v:textbox>
            </v:shape>
          </w:pict>
        </mc:Fallback>
      </mc:AlternateContent>
    </w:r>
  </w:p>
  <w:p w14:paraId="6226E8AE">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DA1C4">
    <w:pPr>
      <w:pStyle w:val="5"/>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-126365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B2CC44A">
                          <w:pPr>
                            <w:pStyle w:val="5"/>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- 2 -</w:t>
                          </w:r>
                          <w:r>
                            <w:rPr>
                              <w:rFonts w:hint="eastAsia" w:ascii="宋体" w:hAnsi="宋体" w:eastAsia="宋体" w:cs="宋体"/>
                              <w:sz w:val="28"/>
                              <w:szCs w:val="4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0pt;margin-top:-9.95pt;height:144pt;width:144pt;mso-position-horizontal-relative:margin;mso-wrap-style:none;z-index:251660288;mso-width-relative:page;mso-height-relative:page;" filled="f" stroked="f" coordsize="21600,21600" o:gfxdata="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b1HJHYAAAACAEAAA8AAAAAAAAAAQAgAAAA&#10;IgAAAGRycy9kb3ducmV2LnhtbFBLAQIUABQAAAAIAIdO4kAc3B+s0gEAAKMDAAAOAAAAAAAAAAEA&#10;IAAAACcBAABkcnMvZTJvRG9jLnhtbFBLBQYAAAAABgAGAFkBAABrBQAAAAA=&#10;">
              <v:path/>
              <v:fill on="f" focussize="0,0"/>
              <v:stroke on="f" weight="1.25pt"/>
              <v:imagedata o:title=""/>
              <o:lock v:ext="edit" aspectratio="f"/>
              <v:textbox inset="0mm,0mm,0mm,0mm" style="mso-fit-shape-to-text:t;">
                <w:txbxContent>
                  <w:p w14:paraId="4B2CC44A">
                    <w:pPr>
                      <w:pStyle w:val="5"/>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- 2 -</w:t>
                    </w:r>
                    <w:r>
                      <w:rPr>
                        <w:rFonts w:hint="eastAsia" w:ascii="宋体" w:hAnsi="宋体" w:eastAsia="宋体" w:cs="宋体"/>
                        <w:sz w:val="28"/>
                        <w:szCs w:val="4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0F6F6">
    <w:pPr>
      <w:pStyle w:val="5"/>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-580390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A10A60">
                          <w:pPr>
                            <w:pStyle w:val="5"/>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45.7pt;height:144pt;width:144pt;mso-position-horizontal:outside;mso-position-horizontal-relative:margin;mso-wrap-style:none;z-index:251662336;mso-width-relative:page;mso-height-relative:page;" filled="f" stroked="f" coordsize="21600,21600" o:gfxdata="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YtoF9UAAAAIAQAADwAAAAAAAAABACAAAAAiAAAAZHJzL2Rvd25y&#10;ZXYueG1sUEsBAhQAFAAAAAgAh07iQBp2gcnIAQAAmQMAAA4AAAAAAAAAAQAgAAAAJAEAAGRycy9l&#10;Mm9Eb2MueG1sUEsFBgAAAAAGAAYAWQEAAF4FAAAAAA==&#10;">
              <v:path/>
              <v:fill on="f" focussize="0,0"/>
              <v:stroke on="f"/>
              <v:imagedata o:title=""/>
              <o:lock v:ext="edit" aspectratio="f"/>
              <v:textbox inset="0mm,0mm,0mm,0mm" style="mso-fit-shape-to-text:t;">
                <w:txbxContent>
                  <w:p w14:paraId="00A10A60">
                    <w:pPr>
                      <w:pStyle w:val="5"/>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77D34">
    <w:pPr>
      <w:pStyle w:val="5"/>
      <w:rPr>
        <w:rStyle w:val="8"/>
        <w:rFonts w:hint="eastAsia" w:ascii="仿宋_GB2312" w:eastAsia="仿宋_GB2312"/>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3C5808F">
                          <w:pPr>
                            <w:pStyle w:val="5"/>
                            <w:rPr>
                              <w:rFonts w:hint="eastAsia"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- 12 -</w:t>
                          </w:r>
                          <w:r>
                            <w:rPr>
                              <w:rFonts w:hint="eastAsia" w:ascii="宋体" w:hAnsi="宋体" w:eastAsia="宋体" w:cs="宋体"/>
                              <w:sz w:val="28"/>
                              <w:szCs w:val="4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path/>
              <v:fill on="f" focussize="0,0"/>
              <v:stroke on="f" weight="1.25pt"/>
              <v:imagedata o:title=""/>
              <o:lock v:ext="edit" aspectratio="f"/>
              <v:textbox inset="0mm,0mm,0mm,0mm" style="mso-fit-shape-to-text:t;">
                <w:txbxContent>
                  <w:p w14:paraId="53C5808F">
                    <w:pPr>
                      <w:pStyle w:val="5"/>
                      <w:rPr>
                        <w:rFonts w:hint="eastAsia"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- 12 -</w:t>
                    </w:r>
                    <w:r>
                      <w:rPr>
                        <w:rFonts w:hint="eastAsia" w:ascii="宋体" w:hAnsi="宋体" w:eastAsia="宋体" w:cs="宋体"/>
                        <w:sz w:val="28"/>
                        <w:szCs w:val="44"/>
                      </w:rPr>
                      <w:fldChar w:fldCharType="end"/>
                    </w:r>
                  </w:p>
                </w:txbxContent>
              </v:textbox>
            </v:shape>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margin">
                <wp:posOffset>5027295</wp:posOffset>
              </wp:positionH>
              <wp:positionV relativeFrom="paragraph">
                <wp:posOffset>-133985</wp:posOffset>
              </wp:positionV>
              <wp:extent cx="589280" cy="203835"/>
              <wp:effectExtent l="0" t="0" r="0" b="0"/>
              <wp:wrapNone/>
              <wp:docPr id="5" name="文本框 5"/>
              <wp:cNvGraphicFramePr/>
              <a:graphic xmlns:a="http://schemas.openxmlformats.org/drawingml/2006/main">
                <a:graphicData uri="http://schemas.microsoft.com/office/word/2010/wordprocessingShape">
                  <wps:wsp>
                    <wps:cNvSpPr txBox="1"/>
                    <wps:spPr>
                      <a:xfrm>
                        <a:off x="0" y="0"/>
                        <a:ext cx="589280" cy="203835"/>
                      </a:xfrm>
                      <a:prstGeom prst="rect">
                        <a:avLst/>
                      </a:prstGeom>
                      <a:noFill/>
                      <a:ln>
                        <a:noFill/>
                      </a:ln>
                    </wps:spPr>
                    <wps:txbx>
                      <w:txbxContent>
                        <w:p w14:paraId="6D55800B">
                          <w:pPr>
                            <w:snapToGrid w:val="0"/>
                            <w:rPr>
                              <w:rFonts w:hint="eastAsia" w:ascii="宋体" w:hAnsi="宋体" w:cs="宋体"/>
                              <w:sz w:val="28"/>
                              <w:szCs w:val="28"/>
                            </w:rPr>
                          </w:pPr>
                        </w:p>
                      </w:txbxContent>
                    </wps:txbx>
                    <wps:bodyPr lIns="0" tIns="0" rIns="0" bIns="0" upright="0"/>
                  </wps:wsp>
                </a:graphicData>
              </a:graphic>
            </wp:anchor>
          </w:drawing>
        </mc:Choice>
        <mc:Fallback>
          <w:pict>
            <v:shape id="_x0000_s1026" o:spid="_x0000_s1026" o:spt="202" type="#_x0000_t202" style="position:absolute;left:0pt;margin-left:395.85pt;margin-top:-10.55pt;height:16.05pt;width:46.4pt;mso-position-horizontal-relative:margin;z-index:251661312;mso-width-relative:page;mso-height-relative:page;" filled="f" stroked="f" coordsize="21600,21600" o:gfxdata="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xcni22QAAAAoBAAAPAAAAAAAAAAEAIAAAACIAAABkcnMvZG93bnJldi54bWxQSwEC&#10;FAAUAAAACACHTuJA1MmzyLoBAABxAwAADgAAAAAAAAABACAAAAAoAQAAZHJzL2Uyb0RvYy54bWxQ&#10;SwUGAAAAAAYABgBZAQAAVAUAAAAA&#10;">
              <v:path/>
              <v:fill on="f" focussize="0,0"/>
              <v:stroke on="f"/>
              <v:imagedata o:title=""/>
              <o:lock v:ext="edit" aspectratio="f"/>
              <v:textbox inset="0mm,0mm,0mm,0mm">
                <w:txbxContent>
                  <w:p w14:paraId="6D55800B">
                    <w:pPr>
                      <w:snapToGrid w:val="0"/>
                      <w:rPr>
                        <w:rFonts w:hint="eastAsia" w:ascii="宋体" w:hAnsi="宋体" w:cs="宋体"/>
                        <w:sz w:val="28"/>
                        <w:szCs w:val="28"/>
                      </w:rPr>
                    </w:pPr>
                  </w:p>
                </w:txbxContent>
              </v:textbox>
            </v:shape>
          </w:pict>
        </mc:Fallback>
      </mc:AlternateContent>
    </w:r>
  </w:p>
  <w:p w14:paraId="0BC297C8">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17512"/>
    <w:rsid w:val="00E97640"/>
    <w:rsid w:val="01B11272"/>
    <w:rsid w:val="02E754EC"/>
    <w:rsid w:val="035F5588"/>
    <w:rsid w:val="0448651A"/>
    <w:rsid w:val="07FC1608"/>
    <w:rsid w:val="09B52B76"/>
    <w:rsid w:val="09E96913"/>
    <w:rsid w:val="0BA65874"/>
    <w:rsid w:val="0C010CCD"/>
    <w:rsid w:val="0D145123"/>
    <w:rsid w:val="0DA0743A"/>
    <w:rsid w:val="0E9B6DAA"/>
    <w:rsid w:val="126E7CB6"/>
    <w:rsid w:val="12B777E4"/>
    <w:rsid w:val="12F36042"/>
    <w:rsid w:val="13AE6C39"/>
    <w:rsid w:val="14E346E3"/>
    <w:rsid w:val="15935C4D"/>
    <w:rsid w:val="16505D95"/>
    <w:rsid w:val="16F314F1"/>
    <w:rsid w:val="179B481B"/>
    <w:rsid w:val="1BC73A3A"/>
    <w:rsid w:val="1CD64F48"/>
    <w:rsid w:val="1DD10DE3"/>
    <w:rsid w:val="1EDC6D7C"/>
    <w:rsid w:val="1F3F71D1"/>
    <w:rsid w:val="1F807BA2"/>
    <w:rsid w:val="231704F4"/>
    <w:rsid w:val="23836379"/>
    <w:rsid w:val="24F90706"/>
    <w:rsid w:val="2520104F"/>
    <w:rsid w:val="26BD02DC"/>
    <w:rsid w:val="26E00BBC"/>
    <w:rsid w:val="28277B20"/>
    <w:rsid w:val="283E7375"/>
    <w:rsid w:val="2B127E6E"/>
    <w:rsid w:val="2BCF1BA4"/>
    <w:rsid w:val="2C6D0398"/>
    <w:rsid w:val="2DC47728"/>
    <w:rsid w:val="2E925AD7"/>
    <w:rsid w:val="2F4F348D"/>
    <w:rsid w:val="2F817AB6"/>
    <w:rsid w:val="2FB45466"/>
    <w:rsid w:val="31BB57A6"/>
    <w:rsid w:val="339B1E96"/>
    <w:rsid w:val="34C16D42"/>
    <w:rsid w:val="38093CF4"/>
    <w:rsid w:val="3A600E6E"/>
    <w:rsid w:val="3A7541F9"/>
    <w:rsid w:val="3B042863"/>
    <w:rsid w:val="3BC738FD"/>
    <w:rsid w:val="3C760918"/>
    <w:rsid w:val="3C7714F5"/>
    <w:rsid w:val="3D3A7F4D"/>
    <w:rsid w:val="3DA43FAB"/>
    <w:rsid w:val="3EEA2EDF"/>
    <w:rsid w:val="3F447220"/>
    <w:rsid w:val="409D238F"/>
    <w:rsid w:val="426943E0"/>
    <w:rsid w:val="42E979B3"/>
    <w:rsid w:val="42FC48EC"/>
    <w:rsid w:val="44FD167E"/>
    <w:rsid w:val="45AB5D85"/>
    <w:rsid w:val="47823AF0"/>
    <w:rsid w:val="484E064B"/>
    <w:rsid w:val="48EB1004"/>
    <w:rsid w:val="49B6662F"/>
    <w:rsid w:val="4B41315E"/>
    <w:rsid w:val="4BDD0AB4"/>
    <w:rsid w:val="4D14500A"/>
    <w:rsid w:val="4DB47C1D"/>
    <w:rsid w:val="4EB35F71"/>
    <w:rsid w:val="4EEE1088"/>
    <w:rsid w:val="4FD17945"/>
    <w:rsid w:val="50F669B4"/>
    <w:rsid w:val="533C2DE3"/>
    <w:rsid w:val="54976C54"/>
    <w:rsid w:val="562625E4"/>
    <w:rsid w:val="56F211C3"/>
    <w:rsid w:val="57310AC4"/>
    <w:rsid w:val="577E4D7C"/>
    <w:rsid w:val="57AA6077"/>
    <w:rsid w:val="57C75815"/>
    <w:rsid w:val="593365CA"/>
    <w:rsid w:val="59D14DE1"/>
    <w:rsid w:val="5A1D0D6F"/>
    <w:rsid w:val="5A5E0741"/>
    <w:rsid w:val="5AEE0D41"/>
    <w:rsid w:val="5B60264C"/>
    <w:rsid w:val="5DC34E01"/>
    <w:rsid w:val="5F2E1793"/>
    <w:rsid w:val="5F775017"/>
    <w:rsid w:val="61BC1668"/>
    <w:rsid w:val="62ED72E2"/>
    <w:rsid w:val="633E0F26"/>
    <w:rsid w:val="634420AD"/>
    <w:rsid w:val="670747A8"/>
    <w:rsid w:val="679B0858"/>
    <w:rsid w:val="681A56BD"/>
    <w:rsid w:val="68DF53F7"/>
    <w:rsid w:val="6B8B10F7"/>
    <w:rsid w:val="6C3635C3"/>
    <w:rsid w:val="6D4437BB"/>
    <w:rsid w:val="6E5129A0"/>
    <w:rsid w:val="6EF900D3"/>
    <w:rsid w:val="708970E2"/>
    <w:rsid w:val="7152505D"/>
    <w:rsid w:val="71D339FF"/>
    <w:rsid w:val="725E0538"/>
    <w:rsid w:val="741407BE"/>
    <w:rsid w:val="74E047F8"/>
    <w:rsid w:val="768E6ABA"/>
    <w:rsid w:val="773B4DD7"/>
    <w:rsid w:val="79F631A3"/>
    <w:rsid w:val="7BE9446F"/>
    <w:rsid w:val="7C407FF3"/>
    <w:rsid w:val="7EBD6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3">
    <w:name w:val="Body Text"/>
    <w:basedOn w:val="1"/>
    <w:next w:val="4"/>
    <w:unhideWhenUsed/>
    <w:qFormat/>
    <w:uiPriority w:val="99"/>
    <w:pPr>
      <w:spacing w:after="120"/>
    </w:pPr>
  </w:style>
  <w:style w:type="paragraph" w:styleId="4">
    <w:name w:val="Title"/>
    <w:basedOn w:val="1"/>
    <w:next w:val="1"/>
    <w:qFormat/>
    <w:uiPriority w:val="0"/>
    <w:pPr>
      <w:spacing w:before="240" w:after="60"/>
      <w:jc w:val="center"/>
      <w:outlineLvl w:val="0"/>
    </w:pPr>
    <w:rPr>
      <w:rFonts w:ascii="Arial" w:hAnsi="Arial"/>
      <w:b/>
      <w:sz w:val="32"/>
      <w:szCs w:val="22"/>
    </w:rPr>
  </w:style>
  <w:style w:type="paragraph" w:styleId="5">
    <w:name w:val="footer"/>
    <w:basedOn w:val="1"/>
    <w:next w:val="1"/>
    <w:uiPriority w:val="0"/>
    <w:pPr>
      <w:tabs>
        <w:tab w:val="center" w:pos="4153"/>
        <w:tab w:val="right" w:pos="8306"/>
      </w:tabs>
      <w:snapToGrid w:val="0"/>
      <w:jc w:val="left"/>
    </w:pPr>
    <w:rPr>
      <w:sz w:val="18"/>
    </w:rPr>
  </w:style>
  <w:style w:type="character" w:styleId="8">
    <w:name w:val="page number"/>
    <w:basedOn w:val="7"/>
    <w:qFormat/>
    <w:uiPriority w:val="0"/>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2024-07-10T03:15:00Z</dcterms:created>
  <dc:creator>Administrator</dc:creator>
  <cp:lastModifiedBy>演示人</cp:lastModifiedBy>
  <dcterms:modified xsi:type="dcterms:W3CDTF">2025-08-27T03:14:32Z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8255C517A071483EA15BFD727DD6AAF6_12</vt:lpwstr>
  </property>
  <property fmtid="{D5CDD505-2E9C-101B-9397-08002B2CF9AE}" pid="4" name="KSOTemplateDocerSaveRecord">
    <vt:lpwstr>eyJoZGlkIjoiOTI5MjJhYWMwODk4NjUxMTcwZWFjNmRlN2FjMTJlNTUiLCJ1c2VySWQiOiIyNDc1MjUzMDgifQ==</vt:lpwstr>
  </property>
</Properties>
</file>