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7846B">
      <w:pPr>
        <w:pStyle w:val="2"/>
        <w:spacing w:before="94" w:line="223" w:lineRule="auto"/>
        <w:ind w:left="290"/>
        <w:rPr>
          <w:sz w:val="29"/>
          <w:szCs w:val="29"/>
        </w:rPr>
      </w:pPr>
      <w:r>
        <w:rPr>
          <w:b/>
          <w:bCs/>
          <w:spacing w:val="-9"/>
          <w:sz w:val="29"/>
          <w:szCs w:val="29"/>
        </w:rPr>
        <w:t>附件</w:t>
      </w:r>
      <w:r>
        <w:rPr>
          <w:spacing w:val="-40"/>
          <w:sz w:val="29"/>
          <w:szCs w:val="29"/>
        </w:rPr>
        <w:t xml:space="preserve"> </w:t>
      </w:r>
      <w:r>
        <w:rPr>
          <w:b/>
          <w:bCs/>
          <w:spacing w:val="-9"/>
          <w:sz w:val="29"/>
          <w:szCs w:val="29"/>
        </w:rPr>
        <w:t>2</w:t>
      </w:r>
    </w:p>
    <w:p w14:paraId="5717A13C">
      <w:pPr>
        <w:spacing w:before="85" w:line="211" w:lineRule="auto"/>
        <w:ind w:left="4551"/>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5"/>
          <w:sz w:val="43"/>
          <w:szCs w:val="43"/>
        </w:rPr>
        <w:t>设施农业用地负面管理清单</w:t>
      </w:r>
    </w:p>
    <w:p w14:paraId="790C2EB2">
      <w:pPr>
        <w:spacing w:line="167" w:lineRule="exact"/>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6"/>
        <w:gridCol w:w="12332"/>
      </w:tblGrid>
      <w:tr w14:paraId="248C1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46" w:type="dxa"/>
            <w:vAlign w:val="top"/>
          </w:tcPr>
          <w:p w14:paraId="4840A03F">
            <w:pPr>
              <w:spacing w:before="187" w:line="239" w:lineRule="auto"/>
              <w:ind w:left="699"/>
              <w:rPr>
                <w:rFonts w:ascii="黑体" w:hAnsi="黑体" w:eastAsia="黑体" w:cs="黑体"/>
                <w:sz w:val="22"/>
                <w:szCs w:val="22"/>
              </w:rPr>
            </w:pPr>
            <w:r>
              <w:rPr>
                <w:rFonts w:ascii="黑体" w:hAnsi="黑体" w:eastAsia="黑体" w:cs="黑体"/>
                <w:spacing w:val="-1"/>
                <w:sz w:val="22"/>
                <w:szCs w:val="22"/>
              </w:rPr>
              <w:t>类型</w:t>
            </w:r>
          </w:p>
        </w:tc>
        <w:tc>
          <w:tcPr>
            <w:tcW w:w="12332" w:type="dxa"/>
            <w:vAlign w:val="top"/>
          </w:tcPr>
          <w:p w14:paraId="4985D805">
            <w:pPr>
              <w:spacing w:before="186" w:line="242" w:lineRule="auto"/>
              <w:ind w:left="5734"/>
              <w:rPr>
                <w:rFonts w:ascii="黑体" w:hAnsi="黑体" w:eastAsia="黑体" w:cs="黑体"/>
                <w:sz w:val="22"/>
                <w:szCs w:val="22"/>
              </w:rPr>
            </w:pPr>
            <w:r>
              <w:rPr>
                <w:rFonts w:ascii="黑体" w:hAnsi="黑体" w:eastAsia="黑体" w:cs="黑体"/>
                <w:spacing w:val="-4"/>
                <w:sz w:val="22"/>
                <w:szCs w:val="22"/>
              </w:rPr>
              <w:t>判定标准</w:t>
            </w:r>
          </w:p>
        </w:tc>
      </w:tr>
      <w:tr w14:paraId="5BA73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846" w:type="dxa"/>
            <w:vAlign w:val="top"/>
          </w:tcPr>
          <w:p w14:paraId="1E446385">
            <w:pPr>
              <w:pStyle w:val="6"/>
              <w:spacing w:before="210" w:line="212" w:lineRule="auto"/>
              <w:ind w:left="474" w:right="131" w:hanging="347"/>
            </w:pPr>
            <w:r>
              <w:rPr>
                <w:spacing w:val="5"/>
              </w:rPr>
              <w:t>永久基本农田内</w:t>
            </w:r>
            <w:r>
              <w:rPr>
                <w:spacing w:val="2"/>
              </w:rPr>
              <w:t>禁止事项</w:t>
            </w:r>
          </w:p>
        </w:tc>
        <w:tc>
          <w:tcPr>
            <w:tcW w:w="12332" w:type="dxa"/>
            <w:vAlign w:val="top"/>
          </w:tcPr>
          <w:p w14:paraId="31B9E950">
            <w:pPr>
              <w:pStyle w:val="6"/>
              <w:spacing w:before="210" w:line="212" w:lineRule="auto"/>
              <w:ind w:left="26" w:right="54"/>
            </w:pPr>
            <w:r>
              <w:rPr>
                <w:spacing w:val="-7"/>
              </w:rPr>
              <w:t>永久基本农田内，除允许按生产季节、种植种类新建利用表土种植</w:t>
            </w:r>
            <w:r>
              <w:rPr>
                <w:spacing w:val="-8"/>
              </w:rPr>
              <w:t>的塑料大棚及既有的生产设施(含耳房)在不改变原有面积、位置的</w:t>
            </w:r>
            <w:r>
              <w:rPr>
                <w:spacing w:val="-1"/>
              </w:rPr>
              <w:t>情况下进行翻建、改建外，严禁其余各类设施新</w:t>
            </w:r>
            <w:r>
              <w:rPr>
                <w:spacing w:val="-2"/>
              </w:rPr>
              <w:t>建、改建、扩建、翻建</w:t>
            </w:r>
          </w:p>
        </w:tc>
      </w:tr>
      <w:tr w14:paraId="37C7F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46" w:type="dxa"/>
            <w:vMerge w:val="restart"/>
            <w:tcBorders>
              <w:bottom w:val="nil"/>
            </w:tcBorders>
            <w:vAlign w:val="top"/>
          </w:tcPr>
          <w:p w14:paraId="62767512">
            <w:pPr>
              <w:spacing w:line="264" w:lineRule="auto"/>
              <w:rPr>
                <w:rFonts w:ascii="Arial"/>
                <w:sz w:val="21"/>
              </w:rPr>
            </w:pPr>
          </w:p>
          <w:p w14:paraId="777D6C73">
            <w:pPr>
              <w:spacing w:line="264" w:lineRule="auto"/>
              <w:rPr>
                <w:rFonts w:ascii="Arial"/>
                <w:sz w:val="21"/>
              </w:rPr>
            </w:pPr>
          </w:p>
          <w:p w14:paraId="77B7B8CA">
            <w:pPr>
              <w:spacing w:line="264" w:lineRule="auto"/>
              <w:rPr>
                <w:rFonts w:ascii="Arial"/>
                <w:sz w:val="21"/>
              </w:rPr>
            </w:pPr>
          </w:p>
          <w:p w14:paraId="62FA8520">
            <w:pPr>
              <w:pStyle w:val="6"/>
              <w:spacing w:before="95" w:line="210" w:lineRule="auto"/>
              <w:ind w:left="474" w:right="37" w:hanging="443"/>
            </w:pPr>
            <w:r>
              <w:rPr>
                <w:spacing w:val="1"/>
              </w:rPr>
              <w:t>设施农业用地建设</w:t>
            </w:r>
            <w:r>
              <w:rPr>
                <w:spacing w:val="2"/>
              </w:rPr>
              <w:t>禁止事项</w:t>
            </w:r>
          </w:p>
        </w:tc>
        <w:tc>
          <w:tcPr>
            <w:tcW w:w="12332" w:type="dxa"/>
            <w:vAlign w:val="top"/>
          </w:tcPr>
          <w:p w14:paraId="40D826F1">
            <w:pPr>
              <w:pStyle w:val="6"/>
              <w:spacing w:before="132" w:line="200" w:lineRule="auto"/>
              <w:ind w:left="30"/>
            </w:pPr>
            <w:r>
              <w:rPr>
                <w:spacing w:val="-1"/>
              </w:rPr>
              <w:t>办理备案手续的设施农用地，不得用于非农业用途</w:t>
            </w:r>
          </w:p>
        </w:tc>
      </w:tr>
      <w:tr w14:paraId="0C381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846" w:type="dxa"/>
            <w:vMerge w:val="continue"/>
            <w:tcBorders>
              <w:top w:val="nil"/>
              <w:bottom w:val="nil"/>
            </w:tcBorders>
            <w:vAlign w:val="top"/>
          </w:tcPr>
          <w:p w14:paraId="380918EB">
            <w:pPr>
              <w:rPr>
                <w:rFonts w:ascii="Arial"/>
                <w:sz w:val="21"/>
              </w:rPr>
            </w:pPr>
          </w:p>
        </w:tc>
        <w:tc>
          <w:tcPr>
            <w:tcW w:w="12332" w:type="dxa"/>
            <w:vAlign w:val="top"/>
          </w:tcPr>
          <w:p w14:paraId="5EF76CC1">
            <w:pPr>
              <w:pStyle w:val="6"/>
              <w:spacing w:before="128" w:line="200" w:lineRule="auto"/>
              <w:ind w:left="26"/>
            </w:pPr>
            <w:r>
              <w:t>使用耕地的设施农用地，耕作层剥离后禁止未妥善保存</w:t>
            </w:r>
            <w:r>
              <w:rPr>
                <w:spacing w:val="-28"/>
              </w:rPr>
              <w:t xml:space="preserve"> </w:t>
            </w:r>
            <w:r>
              <w:t>、利用</w:t>
            </w:r>
          </w:p>
        </w:tc>
      </w:tr>
      <w:tr w14:paraId="4A44A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46" w:type="dxa"/>
            <w:vMerge w:val="continue"/>
            <w:tcBorders>
              <w:top w:val="nil"/>
              <w:bottom w:val="nil"/>
            </w:tcBorders>
            <w:vAlign w:val="top"/>
          </w:tcPr>
          <w:p w14:paraId="33E5B5A2">
            <w:pPr>
              <w:rPr>
                <w:rFonts w:ascii="Arial"/>
                <w:sz w:val="21"/>
              </w:rPr>
            </w:pPr>
          </w:p>
        </w:tc>
        <w:tc>
          <w:tcPr>
            <w:tcW w:w="12332" w:type="dxa"/>
            <w:vAlign w:val="top"/>
          </w:tcPr>
          <w:p w14:paraId="5473FDF9">
            <w:pPr>
              <w:pStyle w:val="6"/>
              <w:spacing w:before="122" w:line="212" w:lineRule="auto"/>
              <w:ind w:left="28" w:right="47"/>
            </w:pPr>
            <w:r>
              <w:rPr>
                <w:spacing w:val="-5"/>
              </w:rPr>
              <w:t>未办理设施农用地备案、上图入库手续的，且未在文件中规定无需办理设施农用地备案手续的，农村道路、畜牧养殖设</w:t>
            </w:r>
            <w:r>
              <w:rPr>
                <w:spacing w:val="-6"/>
              </w:rPr>
              <w:t>施、水产养殖设施和破坏耕作层的种植业设施等农业设施项目，</w:t>
            </w:r>
            <w:r>
              <w:rPr>
                <w:spacing w:val="-7"/>
              </w:rPr>
              <w:t>不得占用耕地</w:t>
            </w:r>
          </w:p>
        </w:tc>
      </w:tr>
      <w:tr w14:paraId="55294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846" w:type="dxa"/>
            <w:vMerge w:val="continue"/>
            <w:tcBorders>
              <w:top w:val="nil"/>
            </w:tcBorders>
            <w:vAlign w:val="top"/>
          </w:tcPr>
          <w:p w14:paraId="79EF5475">
            <w:pPr>
              <w:rPr>
                <w:rFonts w:ascii="Arial"/>
                <w:sz w:val="21"/>
              </w:rPr>
            </w:pPr>
          </w:p>
        </w:tc>
        <w:tc>
          <w:tcPr>
            <w:tcW w:w="12332" w:type="dxa"/>
            <w:vAlign w:val="top"/>
          </w:tcPr>
          <w:p w14:paraId="318D59DE">
            <w:pPr>
              <w:pStyle w:val="6"/>
              <w:spacing w:before="129" w:line="196" w:lineRule="auto"/>
              <w:ind w:left="27"/>
            </w:pPr>
            <w:r>
              <w:rPr>
                <w:spacing w:val="-1"/>
              </w:rPr>
              <w:t>排水(污)沟等污水收集输送系统不得采取明沟布设（畜禽养殖业污染防治技术政策标准</w:t>
            </w:r>
            <w:r>
              <w:rPr>
                <w:spacing w:val="-2"/>
              </w:rPr>
              <w:t>号：环发〔 2010〕151号）</w:t>
            </w:r>
          </w:p>
        </w:tc>
      </w:tr>
      <w:tr w14:paraId="5FEEA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846" w:type="dxa"/>
            <w:vMerge w:val="restart"/>
            <w:tcBorders>
              <w:bottom w:val="nil"/>
            </w:tcBorders>
            <w:vAlign w:val="top"/>
          </w:tcPr>
          <w:p w14:paraId="06DFE797">
            <w:pPr>
              <w:spacing w:line="288" w:lineRule="auto"/>
              <w:rPr>
                <w:rFonts w:ascii="Arial"/>
                <w:sz w:val="21"/>
              </w:rPr>
            </w:pPr>
          </w:p>
          <w:p w14:paraId="226456A3">
            <w:pPr>
              <w:spacing w:line="289" w:lineRule="auto"/>
              <w:rPr>
                <w:rFonts w:ascii="Arial"/>
                <w:sz w:val="21"/>
              </w:rPr>
            </w:pPr>
          </w:p>
          <w:p w14:paraId="7F999B7D">
            <w:pPr>
              <w:spacing w:line="289" w:lineRule="auto"/>
              <w:rPr>
                <w:rFonts w:ascii="Arial"/>
                <w:sz w:val="21"/>
              </w:rPr>
            </w:pPr>
          </w:p>
          <w:p w14:paraId="060A5868">
            <w:pPr>
              <w:spacing w:line="289" w:lineRule="auto"/>
              <w:rPr>
                <w:rFonts w:ascii="Arial"/>
                <w:sz w:val="21"/>
              </w:rPr>
            </w:pPr>
          </w:p>
          <w:p w14:paraId="5D0589DB">
            <w:pPr>
              <w:pStyle w:val="6"/>
              <w:spacing w:before="94" w:line="212" w:lineRule="auto"/>
              <w:ind w:left="474" w:right="57" w:hanging="423"/>
            </w:pPr>
            <w:r>
              <w:rPr>
                <w:spacing w:val="-4"/>
              </w:rPr>
              <w:t>作物种植设施用地</w:t>
            </w:r>
            <w:r>
              <w:rPr>
                <w:spacing w:val="2"/>
              </w:rPr>
              <w:t>禁止事项</w:t>
            </w:r>
          </w:p>
        </w:tc>
        <w:tc>
          <w:tcPr>
            <w:tcW w:w="12332" w:type="dxa"/>
            <w:vAlign w:val="top"/>
          </w:tcPr>
          <w:p w14:paraId="55FB1E52">
            <w:pPr>
              <w:pStyle w:val="6"/>
              <w:spacing w:before="165" w:line="211" w:lineRule="auto"/>
              <w:ind w:left="27" w:right="4952" w:hanging="1"/>
            </w:pPr>
            <w:r>
              <w:rPr>
                <w:spacing w:val="-4"/>
              </w:rPr>
              <w:t>作物种植和种子种苗繁育中有钢架结构的玻璃或 PC 板连栋温室、</w:t>
            </w:r>
            <w:r>
              <w:rPr>
                <w:spacing w:val="-26"/>
              </w:rPr>
              <w:t xml:space="preserve"> </w:t>
            </w:r>
            <w:r>
              <w:rPr>
                <w:spacing w:val="-4"/>
              </w:rPr>
              <w:t>日光温室：</w:t>
            </w:r>
            <w:r>
              <w:rPr>
                <w:spacing w:val="-1"/>
              </w:rPr>
              <w:t>不得搭建或安装永久性承重地梁，不得对原有田面铺设混凝土硬底化</w:t>
            </w:r>
          </w:p>
        </w:tc>
      </w:tr>
      <w:tr w14:paraId="00933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846" w:type="dxa"/>
            <w:vMerge w:val="continue"/>
            <w:tcBorders>
              <w:top w:val="nil"/>
              <w:bottom w:val="nil"/>
            </w:tcBorders>
            <w:vAlign w:val="top"/>
          </w:tcPr>
          <w:p w14:paraId="1318069E">
            <w:pPr>
              <w:rPr>
                <w:rFonts w:ascii="Arial"/>
                <w:sz w:val="21"/>
              </w:rPr>
            </w:pPr>
          </w:p>
        </w:tc>
        <w:tc>
          <w:tcPr>
            <w:tcW w:w="12332" w:type="dxa"/>
            <w:vAlign w:val="top"/>
          </w:tcPr>
          <w:p w14:paraId="67D8AF39">
            <w:pPr>
              <w:pStyle w:val="6"/>
              <w:spacing w:before="199" w:line="200" w:lineRule="auto"/>
              <w:ind w:left="28"/>
            </w:pPr>
            <w:r>
              <w:rPr>
                <w:spacing w:val="-1"/>
              </w:rPr>
              <w:t>不得采用钢板等作为大棚覆盖材料，不得采用外来废渣等填充土地</w:t>
            </w:r>
          </w:p>
        </w:tc>
      </w:tr>
      <w:tr w14:paraId="42E6F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846" w:type="dxa"/>
            <w:vMerge w:val="continue"/>
            <w:tcBorders>
              <w:top w:val="nil"/>
              <w:bottom w:val="nil"/>
            </w:tcBorders>
            <w:vAlign w:val="top"/>
          </w:tcPr>
          <w:p w14:paraId="416ED412">
            <w:pPr>
              <w:rPr>
                <w:rFonts w:ascii="Arial"/>
                <w:sz w:val="21"/>
              </w:rPr>
            </w:pPr>
          </w:p>
        </w:tc>
        <w:tc>
          <w:tcPr>
            <w:tcW w:w="12332" w:type="dxa"/>
            <w:vAlign w:val="top"/>
          </w:tcPr>
          <w:p w14:paraId="690464B9">
            <w:pPr>
              <w:pStyle w:val="6"/>
              <w:spacing w:before="146" w:line="200" w:lineRule="auto"/>
              <w:ind w:left="26"/>
            </w:pPr>
            <w:r>
              <w:rPr>
                <w:spacing w:val="-1"/>
              </w:rPr>
              <w:t>作物种植附属设施：用地规模不得超出设施农</w:t>
            </w:r>
            <w:r>
              <w:rPr>
                <w:spacing w:val="-2"/>
              </w:rPr>
              <w:t>业项目用地总规模的10%,不得超出 30 亩</w:t>
            </w:r>
          </w:p>
        </w:tc>
      </w:tr>
      <w:tr w14:paraId="5CD7F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846" w:type="dxa"/>
            <w:vMerge w:val="continue"/>
            <w:tcBorders>
              <w:top w:val="nil"/>
              <w:bottom w:val="nil"/>
            </w:tcBorders>
            <w:vAlign w:val="top"/>
          </w:tcPr>
          <w:p w14:paraId="043E71A0">
            <w:pPr>
              <w:rPr>
                <w:rFonts w:ascii="Arial"/>
                <w:sz w:val="21"/>
              </w:rPr>
            </w:pPr>
          </w:p>
        </w:tc>
        <w:tc>
          <w:tcPr>
            <w:tcW w:w="12332" w:type="dxa"/>
            <w:vAlign w:val="top"/>
          </w:tcPr>
          <w:p w14:paraId="6C613F39">
            <w:pPr>
              <w:pStyle w:val="6"/>
              <w:spacing w:before="152" w:line="201" w:lineRule="auto"/>
              <w:ind w:left="24"/>
            </w:pPr>
            <w:r>
              <w:rPr>
                <w:spacing w:val="-4"/>
              </w:rPr>
              <w:t>农村道路：按照农村道路管理的场区道路，宽度不得超过 8 米</w:t>
            </w:r>
          </w:p>
        </w:tc>
      </w:tr>
      <w:tr w14:paraId="41557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846" w:type="dxa"/>
            <w:vMerge w:val="continue"/>
            <w:tcBorders>
              <w:top w:val="nil"/>
            </w:tcBorders>
            <w:vAlign w:val="top"/>
          </w:tcPr>
          <w:p w14:paraId="65B8155F">
            <w:pPr>
              <w:rPr>
                <w:rFonts w:ascii="Arial"/>
                <w:sz w:val="21"/>
              </w:rPr>
            </w:pPr>
          </w:p>
        </w:tc>
        <w:tc>
          <w:tcPr>
            <w:tcW w:w="12332" w:type="dxa"/>
            <w:vAlign w:val="top"/>
          </w:tcPr>
          <w:p w14:paraId="7E6AFBB8">
            <w:pPr>
              <w:pStyle w:val="6"/>
              <w:spacing w:before="199" w:line="201" w:lineRule="auto"/>
              <w:ind w:left="30"/>
            </w:pPr>
            <w:r>
              <w:rPr>
                <w:spacing w:val="-3"/>
              </w:rPr>
              <w:t>温棚看护房：单层面积不得超出40 平方米</w:t>
            </w:r>
          </w:p>
        </w:tc>
      </w:tr>
    </w:tbl>
    <w:p w14:paraId="247AFF21">
      <w:pPr>
        <w:rPr>
          <w:rFonts w:ascii="Arial"/>
          <w:sz w:val="21"/>
        </w:rPr>
      </w:pPr>
    </w:p>
    <w:p w14:paraId="6B42AB98">
      <w:pPr>
        <w:rPr>
          <w:rFonts w:ascii="Arial" w:hAnsi="Arial" w:eastAsia="Arial" w:cs="Arial"/>
          <w:sz w:val="21"/>
          <w:szCs w:val="21"/>
        </w:rPr>
        <w:sectPr>
          <w:footerReference r:id="rId5" w:type="default"/>
          <w:pgSz w:w="16920" w:h="11880"/>
          <w:pgMar w:top="1009" w:right="1368" w:bottom="1088" w:left="1368" w:header="0" w:footer="648" w:gutter="0"/>
          <w:cols w:space="720" w:num="1"/>
        </w:sectPr>
      </w:pPr>
    </w:p>
    <w:p w14:paraId="00D69466">
      <w:pPr>
        <w:spacing w:before="104"/>
      </w:pPr>
    </w:p>
    <w:p w14:paraId="37619122">
      <w:pPr>
        <w:spacing w:before="103"/>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5"/>
        <w:gridCol w:w="12333"/>
      </w:tblGrid>
      <w:tr w14:paraId="33E12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45" w:type="dxa"/>
            <w:vAlign w:val="top"/>
          </w:tcPr>
          <w:p w14:paraId="43690F68">
            <w:pPr>
              <w:spacing w:before="188" w:line="239" w:lineRule="auto"/>
              <w:ind w:left="699"/>
              <w:rPr>
                <w:rFonts w:ascii="黑体" w:hAnsi="黑体" w:eastAsia="黑体" w:cs="黑体"/>
                <w:sz w:val="22"/>
                <w:szCs w:val="22"/>
              </w:rPr>
            </w:pPr>
            <w:r>
              <w:rPr>
                <w:rFonts w:ascii="黑体" w:hAnsi="黑体" w:eastAsia="黑体" w:cs="黑体"/>
                <w:spacing w:val="-1"/>
                <w:sz w:val="22"/>
                <w:szCs w:val="22"/>
              </w:rPr>
              <w:t>类型</w:t>
            </w:r>
          </w:p>
        </w:tc>
        <w:tc>
          <w:tcPr>
            <w:tcW w:w="12333" w:type="dxa"/>
            <w:vAlign w:val="top"/>
          </w:tcPr>
          <w:p w14:paraId="72781F88">
            <w:pPr>
              <w:spacing w:before="188" w:line="242" w:lineRule="auto"/>
              <w:ind w:left="5735"/>
              <w:rPr>
                <w:rFonts w:ascii="黑体" w:hAnsi="黑体" w:eastAsia="黑体" w:cs="黑体"/>
                <w:sz w:val="22"/>
                <w:szCs w:val="22"/>
              </w:rPr>
            </w:pPr>
            <w:r>
              <w:rPr>
                <w:rFonts w:ascii="黑体" w:hAnsi="黑体" w:eastAsia="黑体" w:cs="黑体"/>
                <w:spacing w:val="-4"/>
                <w:sz w:val="22"/>
                <w:szCs w:val="22"/>
              </w:rPr>
              <w:t>判定标准</w:t>
            </w:r>
          </w:p>
        </w:tc>
      </w:tr>
      <w:tr w14:paraId="3831F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845" w:type="dxa"/>
            <w:vAlign w:val="top"/>
          </w:tcPr>
          <w:p w14:paraId="778A8B92">
            <w:pPr>
              <w:pStyle w:val="6"/>
              <w:spacing w:before="121" w:line="211" w:lineRule="auto"/>
              <w:ind w:left="146" w:right="146" w:firstLine="4"/>
            </w:pPr>
            <w:r>
              <w:t>畜禽水产养殖设施用地禁止事项</w:t>
            </w:r>
          </w:p>
        </w:tc>
        <w:tc>
          <w:tcPr>
            <w:tcW w:w="12333" w:type="dxa"/>
            <w:vAlign w:val="top"/>
          </w:tcPr>
          <w:p w14:paraId="3C61B7E0">
            <w:pPr>
              <w:pStyle w:val="6"/>
              <w:spacing w:before="281" w:line="200" w:lineRule="auto"/>
              <w:ind w:left="31"/>
            </w:pPr>
            <w:r>
              <w:rPr>
                <w:spacing w:val="-2"/>
              </w:rPr>
              <w:t>畜禽水产养殖附属设施：用地规模不得超过设施农业项目用地总规</w:t>
            </w:r>
            <w:r>
              <w:rPr>
                <w:spacing w:val="-3"/>
              </w:rPr>
              <w:t>模的 15%,最大面积不得超出 30 亩</w:t>
            </w:r>
          </w:p>
        </w:tc>
      </w:tr>
      <w:tr w14:paraId="3CDD6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845" w:type="dxa"/>
            <w:vMerge w:val="restart"/>
            <w:tcBorders>
              <w:bottom w:val="nil"/>
            </w:tcBorders>
            <w:vAlign w:val="top"/>
          </w:tcPr>
          <w:p w14:paraId="11023C01">
            <w:pPr>
              <w:spacing w:line="313" w:lineRule="auto"/>
              <w:rPr>
                <w:rFonts w:ascii="Arial"/>
                <w:sz w:val="21"/>
              </w:rPr>
            </w:pPr>
          </w:p>
          <w:p w14:paraId="23FA09A1">
            <w:pPr>
              <w:pStyle w:val="6"/>
              <w:spacing w:before="94" w:line="201" w:lineRule="auto"/>
              <w:ind w:left="125"/>
            </w:pPr>
            <w:r>
              <w:rPr>
                <w:spacing w:val="5"/>
              </w:rPr>
              <w:t>依托高标准农田</w:t>
            </w:r>
          </w:p>
          <w:p w14:paraId="728EF11F">
            <w:pPr>
              <w:pStyle w:val="6"/>
              <w:spacing w:line="200" w:lineRule="auto"/>
              <w:ind w:left="150"/>
            </w:pPr>
            <w:r>
              <w:t>等项目建设的大</w:t>
            </w:r>
          </w:p>
          <w:p w14:paraId="360D4A08">
            <w:pPr>
              <w:pStyle w:val="6"/>
              <w:spacing w:before="4" w:line="201" w:lineRule="auto"/>
              <w:ind w:left="177"/>
            </w:pPr>
            <w:r>
              <w:rPr>
                <w:spacing w:val="-4"/>
              </w:rPr>
              <w:t>田种植配建设施</w:t>
            </w:r>
          </w:p>
          <w:p w14:paraId="11241B1A">
            <w:pPr>
              <w:pStyle w:val="6"/>
              <w:spacing w:before="2" w:line="200" w:lineRule="auto"/>
              <w:ind w:left="470"/>
            </w:pPr>
            <w:r>
              <w:rPr>
                <w:spacing w:val="3"/>
              </w:rPr>
              <w:t>禁止事项</w:t>
            </w:r>
          </w:p>
        </w:tc>
        <w:tc>
          <w:tcPr>
            <w:tcW w:w="12333" w:type="dxa"/>
            <w:vAlign w:val="top"/>
          </w:tcPr>
          <w:p w14:paraId="64E9187D">
            <w:pPr>
              <w:pStyle w:val="6"/>
              <w:spacing w:before="123" w:line="200" w:lineRule="auto"/>
              <w:ind w:left="31"/>
            </w:pPr>
            <w:r>
              <w:rPr>
                <w:spacing w:val="-5"/>
              </w:rPr>
              <w:t>配建设施用地规模原则不得超出项目用地总规模的 10%</w:t>
            </w:r>
          </w:p>
        </w:tc>
      </w:tr>
      <w:tr w14:paraId="59375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45" w:type="dxa"/>
            <w:vMerge w:val="continue"/>
            <w:tcBorders>
              <w:top w:val="nil"/>
              <w:bottom w:val="nil"/>
            </w:tcBorders>
            <w:vAlign w:val="top"/>
          </w:tcPr>
          <w:p w14:paraId="0FEBA494">
            <w:pPr>
              <w:rPr>
                <w:rFonts w:ascii="Arial"/>
                <w:sz w:val="21"/>
              </w:rPr>
            </w:pPr>
          </w:p>
        </w:tc>
        <w:tc>
          <w:tcPr>
            <w:tcW w:w="12333" w:type="dxa"/>
            <w:vAlign w:val="top"/>
          </w:tcPr>
          <w:p w14:paraId="656AEB2C">
            <w:pPr>
              <w:pStyle w:val="6"/>
              <w:spacing w:before="132" w:line="201" w:lineRule="auto"/>
              <w:ind w:left="29"/>
            </w:pPr>
            <w:r>
              <w:rPr>
                <w:spacing w:val="-5"/>
              </w:rPr>
              <w:t>不得设置大于 8 米的沟渠和田间道路、大于 20000 平方米的蓄水池</w:t>
            </w:r>
          </w:p>
        </w:tc>
      </w:tr>
      <w:tr w14:paraId="691CD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1845" w:type="dxa"/>
            <w:vMerge w:val="continue"/>
            <w:tcBorders>
              <w:top w:val="nil"/>
            </w:tcBorders>
            <w:vAlign w:val="top"/>
          </w:tcPr>
          <w:p w14:paraId="1C792E27">
            <w:pPr>
              <w:rPr>
                <w:rFonts w:ascii="Arial"/>
                <w:sz w:val="21"/>
              </w:rPr>
            </w:pPr>
          </w:p>
        </w:tc>
        <w:tc>
          <w:tcPr>
            <w:tcW w:w="12333" w:type="dxa"/>
            <w:vAlign w:val="top"/>
          </w:tcPr>
          <w:p w14:paraId="624CA408">
            <w:pPr>
              <w:pStyle w:val="6"/>
              <w:spacing w:before="218" w:line="211" w:lineRule="auto"/>
              <w:ind w:left="30" w:right="54" w:firstLine="2"/>
            </w:pPr>
            <w:r>
              <w:rPr>
                <w:spacing w:val="-1"/>
              </w:rPr>
              <w:t>高标准农田等项目以外建设的直接服务于大田种植生产必备的蓄水池等</w:t>
            </w:r>
            <w:r>
              <w:rPr>
                <w:spacing w:val="-2"/>
              </w:rPr>
              <w:t>灌排设施，需依托高标准基本农田项目办理设施农用地备案手续</w:t>
            </w:r>
          </w:p>
        </w:tc>
      </w:tr>
      <w:tr w14:paraId="759AF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845" w:type="dxa"/>
            <w:vMerge w:val="restart"/>
            <w:tcBorders>
              <w:bottom w:val="nil"/>
            </w:tcBorders>
            <w:vAlign w:val="top"/>
          </w:tcPr>
          <w:p w14:paraId="7B0BC19E">
            <w:pPr>
              <w:spacing w:line="318" w:lineRule="auto"/>
              <w:rPr>
                <w:rFonts w:ascii="Arial"/>
                <w:sz w:val="21"/>
              </w:rPr>
            </w:pPr>
          </w:p>
          <w:p w14:paraId="29F593AA">
            <w:pPr>
              <w:spacing w:line="319" w:lineRule="auto"/>
              <w:rPr>
                <w:rFonts w:ascii="Arial"/>
                <w:sz w:val="21"/>
              </w:rPr>
            </w:pPr>
          </w:p>
          <w:p w14:paraId="6B12297A">
            <w:pPr>
              <w:pStyle w:val="6"/>
              <w:spacing w:before="94" w:line="211" w:lineRule="auto"/>
              <w:ind w:left="474" w:right="87" w:hanging="390"/>
            </w:pPr>
            <w:r>
              <w:rPr>
                <w:spacing w:val="1"/>
              </w:rPr>
              <w:t>按建设用地管</w:t>
            </w:r>
            <w:r>
              <w:rPr>
                <w:spacing w:val="55"/>
              </w:rPr>
              <w:t xml:space="preserve"> </w:t>
            </w:r>
            <w:r>
              <w:rPr>
                <w:spacing w:val="1"/>
              </w:rPr>
              <w:t>理</w:t>
            </w:r>
            <w:r>
              <w:rPr>
                <w:spacing w:val="2"/>
              </w:rPr>
              <w:t>禁止事项</w:t>
            </w:r>
          </w:p>
        </w:tc>
        <w:tc>
          <w:tcPr>
            <w:tcW w:w="12333" w:type="dxa"/>
            <w:vAlign w:val="top"/>
          </w:tcPr>
          <w:p w14:paraId="4DC23286">
            <w:pPr>
              <w:pStyle w:val="6"/>
              <w:spacing w:before="130" w:line="200" w:lineRule="auto"/>
              <w:ind w:left="46"/>
            </w:pPr>
            <w:r>
              <w:rPr>
                <w:spacing w:val="-1"/>
              </w:rPr>
              <w:t>以农业为依托的休闲观光度假场所、各类庄</w:t>
            </w:r>
            <w:r>
              <w:rPr>
                <w:spacing w:val="-2"/>
              </w:rPr>
              <w:t>园、酒庄、农家乐</w:t>
            </w:r>
          </w:p>
        </w:tc>
      </w:tr>
      <w:tr w14:paraId="18AAC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845" w:type="dxa"/>
            <w:vMerge w:val="continue"/>
            <w:tcBorders>
              <w:top w:val="nil"/>
              <w:bottom w:val="nil"/>
            </w:tcBorders>
            <w:vAlign w:val="top"/>
          </w:tcPr>
          <w:p w14:paraId="75226FFB">
            <w:pPr>
              <w:rPr>
                <w:rFonts w:ascii="Arial"/>
                <w:sz w:val="21"/>
              </w:rPr>
            </w:pPr>
          </w:p>
        </w:tc>
        <w:tc>
          <w:tcPr>
            <w:tcW w:w="12333" w:type="dxa"/>
            <w:vAlign w:val="top"/>
          </w:tcPr>
          <w:p w14:paraId="35C98A31">
            <w:pPr>
              <w:pStyle w:val="6"/>
              <w:spacing w:before="130" w:line="200" w:lineRule="auto"/>
              <w:ind w:left="28"/>
            </w:pPr>
            <w:r>
              <w:rPr>
                <w:spacing w:val="-1"/>
              </w:rPr>
              <w:t>各类农业园区中涉及建设永久性餐饮、住宿、会议、大型停车场、工厂化农产品加工、科研、展销</w:t>
            </w:r>
            <w:r>
              <w:rPr>
                <w:spacing w:val="-2"/>
              </w:rPr>
              <w:t>等用地</w:t>
            </w:r>
          </w:p>
        </w:tc>
      </w:tr>
      <w:tr w14:paraId="738E5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845" w:type="dxa"/>
            <w:vMerge w:val="continue"/>
            <w:tcBorders>
              <w:top w:val="nil"/>
              <w:bottom w:val="nil"/>
            </w:tcBorders>
            <w:vAlign w:val="top"/>
          </w:tcPr>
          <w:p w14:paraId="225A66C8">
            <w:pPr>
              <w:rPr>
                <w:rFonts w:ascii="Arial"/>
                <w:sz w:val="21"/>
              </w:rPr>
            </w:pPr>
          </w:p>
        </w:tc>
        <w:tc>
          <w:tcPr>
            <w:tcW w:w="12333" w:type="dxa"/>
            <w:vAlign w:val="top"/>
          </w:tcPr>
          <w:p w14:paraId="61D50A99">
            <w:pPr>
              <w:pStyle w:val="6"/>
              <w:spacing w:before="131" w:line="200" w:lineRule="auto"/>
              <w:ind w:left="31"/>
            </w:pPr>
            <w:r>
              <w:rPr>
                <w:spacing w:val="-1"/>
              </w:rPr>
              <w:t>经营性粮食存储、加工和农资存放、农机经销维修企业的农机存放、维修场所，屠宰和</w:t>
            </w:r>
            <w:r>
              <w:rPr>
                <w:spacing w:val="-2"/>
              </w:rPr>
              <w:t>肉类加工场所</w:t>
            </w:r>
          </w:p>
        </w:tc>
      </w:tr>
      <w:tr w14:paraId="32D60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845" w:type="dxa"/>
            <w:vMerge w:val="continue"/>
            <w:tcBorders>
              <w:top w:val="nil"/>
            </w:tcBorders>
            <w:vAlign w:val="top"/>
          </w:tcPr>
          <w:p w14:paraId="51F53258">
            <w:pPr>
              <w:rPr>
                <w:rFonts w:ascii="Arial"/>
                <w:sz w:val="21"/>
              </w:rPr>
            </w:pPr>
          </w:p>
        </w:tc>
        <w:tc>
          <w:tcPr>
            <w:tcW w:w="12333" w:type="dxa"/>
            <w:vAlign w:val="top"/>
          </w:tcPr>
          <w:p w14:paraId="094A4494">
            <w:pPr>
              <w:pStyle w:val="6"/>
              <w:spacing w:before="133" w:line="200" w:lineRule="auto"/>
              <w:ind w:left="26"/>
            </w:pPr>
            <w:r>
              <w:rPr>
                <w:spacing w:val="-3"/>
              </w:rPr>
              <w:t>休闲农业中农业科普、体验等教育展览用地</w:t>
            </w:r>
          </w:p>
        </w:tc>
      </w:tr>
    </w:tbl>
    <w:p w14:paraId="6CE03E9F">
      <w:pPr>
        <w:rPr>
          <w:rFonts w:ascii="Arial"/>
          <w:sz w:val="21"/>
        </w:rPr>
      </w:pPr>
    </w:p>
    <w:p w14:paraId="474EBF2D">
      <w:bookmarkStart w:id="0" w:name="_GoBack"/>
      <w:bookmarkEnd w:id="0"/>
    </w:p>
    <w:sectPr>
      <w:footerReference r:id="rId6" w:type="default"/>
      <w:pgSz w:w="16920" w:h="11880"/>
      <w:pgMar w:top="1009" w:right="1368" w:bottom="1088" w:left="1368" w:header="0" w:footer="65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5DB4E">
    <w:pPr>
      <w:spacing w:line="215" w:lineRule="auto"/>
      <w:ind w:left="54"/>
      <w:rPr>
        <w:rFonts w:ascii="微软雅黑" w:hAnsi="微软雅黑" w:eastAsia="微软雅黑" w:cs="微软雅黑"/>
        <w:sz w:val="28"/>
        <w:szCs w:val="28"/>
      </w:rPr>
    </w:pPr>
    <w:r>
      <w:rPr>
        <w:rFonts w:ascii="微软雅黑" w:hAnsi="微软雅黑" w:eastAsia="微软雅黑" w:cs="微软雅黑"/>
        <w:spacing w:val="6"/>
        <w:sz w:val="28"/>
        <w:szCs w:val="28"/>
      </w:rPr>
      <w:t>-</w:t>
    </w:r>
    <w:r>
      <w:rPr>
        <w:rFonts w:ascii="微软雅黑" w:hAnsi="微软雅黑" w:eastAsia="微软雅黑" w:cs="微软雅黑"/>
        <w:spacing w:val="-5"/>
        <w:sz w:val="28"/>
        <w:szCs w:val="28"/>
      </w:rPr>
      <w:t xml:space="preserve"> </w:t>
    </w:r>
    <w:r>
      <w:rPr>
        <w:rFonts w:ascii="微软雅黑" w:hAnsi="微软雅黑" w:eastAsia="微软雅黑" w:cs="微软雅黑"/>
        <w:spacing w:val="6"/>
        <w:sz w:val="28"/>
        <w:szCs w:val="28"/>
      </w:rPr>
      <w:t>4</w:t>
    </w:r>
    <w:r>
      <w:rPr>
        <w:rFonts w:ascii="微软雅黑" w:hAnsi="微软雅黑" w:eastAsia="微软雅黑" w:cs="微软雅黑"/>
        <w:spacing w:val="-6"/>
        <w:sz w:val="28"/>
        <w:szCs w:val="28"/>
      </w:rPr>
      <w:t xml:space="preserve"> </w:t>
    </w:r>
    <w:r>
      <w:rPr>
        <w:rFonts w:ascii="微软雅黑" w:hAnsi="微软雅黑" w:eastAsia="微软雅黑" w:cs="微软雅黑"/>
        <w:spacing w:val="6"/>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01853">
    <w:pPr>
      <w:spacing w:line="213" w:lineRule="auto"/>
      <w:ind w:right="48"/>
      <w:jc w:val="right"/>
      <w:rPr>
        <w:rFonts w:ascii="微软雅黑" w:hAnsi="微软雅黑" w:eastAsia="微软雅黑" w:cs="微软雅黑"/>
        <w:sz w:val="28"/>
        <w:szCs w:val="28"/>
      </w:rPr>
    </w:pPr>
    <w:r>
      <w:rPr>
        <w:rFonts w:ascii="微软雅黑" w:hAnsi="微软雅黑" w:eastAsia="微软雅黑" w:cs="微软雅黑"/>
        <w:spacing w:val="6"/>
        <w:sz w:val="28"/>
        <w:szCs w:val="28"/>
      </w:rPr>
      <w:t>-</w:t>
    </w:r>
    <w:r>
      <w:rPr>
        <w:rFonts w:ascii="微软雅黑" w:hAnsi="微软雅黑" w:eastAsia="微软雅黑" w:cs="微软雅黑"/>
        <w:spacing w:val="-5"/>
        <w:sz w:val="28"/>
        <w:szCs w:val="28"/>
      </w:rPr>
      <w:t xml:space="preserve"> </w:t>
    </w:r>
    <w:r>
      <w:rPr>
        <w:rFonts w:ascii="微软雅黑" w:hAnsi="微软雅黑" w:eastAsia="微软雅黑" w:cs="微软雅黑"/>
        <w:spacing w:val="6"/>
        <w:sz w:val="28"/>
        <w:szCs w:val="28"/>
      </w:rPr>
      <w:t>5</w:t>
    </w:r>
    <w:r>
      <w:rPr>
        <w:rFonts w:ascii="微软雅黑" w:hAnsi="微软雅黑" w:eastAsia="微软雅黑" w:cs="微软雅黑"/>
        <w:spacing w:val="-6"/>
        <w:sz w:val="28"/>
        <w:szCs w:val="28"/>
      </w:rPr>
      <w:t xml:space="preserve"> </w:t>
    </w:r>
    <w:r>
      <w:rPr>
        <w:rFonts w:ascii="微软雅黑" w:hAnsi="微软雅黑" w:eastAsia="微软雅黑" w:cs="微软雅黑"/>
        <w:spacing w:val="6"/>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E1179"/>
    <w:rsid w:val="23CE1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2026-01-09T06:57:00Z</dcterms:created>
  <dc:creator>政务公开室</dc:creator>
  <cp:lastModifiedBy>政务公开室</cp:lastModifiedBy>
  <dcterms:modified xsi:type="dcterms:W3CDTF">2026-01-09T06:58:12Z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059FE12772554869960E86DF5825E822_11</vt:lpwstr>
  </property>
  <property fmtid="{D5CDD505-2E9C-101B-9397-08002B2CF9AE}" pid="4" name="KSOTemplateDocerSaveRecord">
    <vt:lpwstr>eyJoZGlkIjoiZTcyOWY2ZjkyOWE1N2RmYmNlYmJhODY3YTA0NTE0NzQiLCJ1c2VySWQiOiIyNDc1MjUzMDgifQ==</vt:lpwstr>
  </property>
</Properties>
</file>